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15" w:rsidRDefault="00A25315" w:rsidP="00A9637D">
      <w:pPr>
        <w:pStyle w:val="Title"/>
        <w:ind w:left="720" w:hanging="720"/>
        <w:rPr>
          <w:rFonts w:ascii="Times" w:hAnsi="Times"/>
          <w:sz w:val="36"/>
        </w:rPr>
      </w:pPr>
    </w:p>
    <w:p w:rsidR="00A25315" w:rsidRPr="00E20707" w:rsidRDefault="00A25315" w:rsidP="00A25315">
      <w:pPr>
        <w:pStyle w:val="Title"/>
        <w:rPr>
          <w:rFonts w:ascii="Times" w:hAnsi="Times"/>
          <w:sz w:val="36"/>
        </w:rPr>
      </w:pPr>
      <w:r w:rsidRPr="00E20707">
        <w:rPr>
          <w:rFonts w:ascii="Times" w:hAnsi="Times"/>
          <w:sz w:val="36"/>
        </w:rPr>
        <w:t>Anth 551: Strategies in Archaeology</w:t>
      </w:r>
      <w:r w:rsidR="00DF2AD8">
        <w:rPr>
          <w:rFonts w:ascii="Times" w:hAnsi="Times"/>
          <w:sz w:val="36"/>
        </w:rPr>
        <w:t xml:space="preserve"> – Fall 2014</w:t>
      </w:r>
    </w:p>
    <w:p w:rsidR="00A25315" w:rsidRPr="00B5465C" w:rsidRDefault="00A25315" w:rsidP="00A25315">
      <w:pPr>
        <w:rPr>
          <w:b/>
          <w:szCs w:val="28"/>
        </w:rPr>
      </w:pPr>
    </w:p>
    <w:p w:rsidR="00A25315" w:rsidRDefault="00A25315" w:rsidP="00A25315">
      <w:pPr>
        <w:rPr>
          <w:b/>
        </w:rPr>
      </w:pPr>
      <w:r w:rsidRPr="00B5465C">
        <w:rPr>
          <w:b/>
        </w:rPr>
        <w:t>Course Meetings:</w:t>
      </w:r>
      <w:r w:rsidRPr="00B5465C">
        <w:rPr>
          <w:b/>
        </w:rPr>
        <w:tab/>
      </w:r>
    </w:p>
    <w:p w:rsidR="00A25315" w:rsidRPr="00B5465C" w:rsidRDefault="00A25315" w:rsidP="00A25315">
      <w:r>
        <w:t xml:space="preserve">Wednesdays, </w:t>
      </w:r>
      <w:r w:rsidR="00DF2AD8">
        <w:t>9</w:t>
      </w:r>
      <w:r w:rsidR="00EA78B5">
        <w:t>:</w:t>
      </w:r>
      <w:r w:rsidR="00DF2AD8">
        <w:t>4</w:t>
      </w:r>
      <w:r w:rsidR="00EA78B5">
        <w:t>0-</w:t>
      </w:r>
      <w:r w:rsidR="00DF2AD8">
        <w:t>12:40</w:t>
      </w:r>
      <w:r w:rsidRPr="00B5465C">
        <w:t>, Science I, Room 143</w:t>
      </w:r>
    </w:p>
    <w:p w:rsidR="00A25315" w:rsidRPr="00B5465C" w:rsidRDefault="00A25315" w:rsidP="00A25315">
      <w:pPr>
        <w:rPr>
          <w:b/>
        </w:rPr>
      </w:pPr>
    </w:p>
    <w:p w:rsidR="00A25315" w:rsidRPr="00C17B13" w:rsidRDefault="00A25315" w:rsidP="00A25315">
      <w:pPr>
        <w:rPr>
          <w:b/>
        </w:rPr>
      </w:pPr>
      <w:r w:rsidRPr="00C17B13">
        <w:rPr>
          <w:b/>
        </w:rPr>
        <w:t>Instructors:</w:t>
      </w:r>
    </w:p>
    <w:p w:rsidR="00A25315" w:rsidRPr="00B5465C" w:rsidRDefault="00DF2AD8" w:rsidP="00A25315">
      <w:r>
        <w:t>Randall McGuire</w:t>
      </w:r>
      <w:r w:rsidR="00970CA1">
        <w:t xml:space="preserve">, </w:t>
      </w:r>
      <w:r w:rsidR="00514C88">
        <w:t xml:space="preserve">    </w:t>
      </w:r>
      <w:r w:rsidR="00BD420D">
        <w:tab/>
      </w:r>
      <w:r w:rsidR="00BD420D">
        <w:tab/>
      </w:r>
      <w:r w:rsidR="00BD420D">
        <w:tab/>
      </w:r>
      <w:r w:rsidR="00BD420D">
        <w:tab/>
      </w:r>
      <w:proofErr w:type="gramStart"/>
      <w:r>
        <w:t xml:space="preserve">Distinguished </w:t>
      </w:r>
      <w:r w:rsidR="00A25315" w:rsidRPr="00B5465C">
        <w:t xml:space="preserve"> Professor</w:t>
      </w:r>
      <w:proofErr w:type="gramEnd"/>
      <w:r w:rsidR="00A25315" w:rsidRPr="00B5465C">
        <w:tab/>
      </w:r>
      <w:r w:rsidR="00A25315" w:rsidRPr="00B5465C">
        <w:tab/>
      </w:r>
      <w:r w:rsidR="00A25315" w:rsidRPr="00B5465C">
        <w:tab/>
      </w:r>
    </w:p>
    <w:p w:rsidR="00A25315" w:rsidRPr="00B5465C" w:rsidRDefault="00A25315" w:rsidP="00A25315">
      <w:proofErr w:type="gramStart"/>
      <w:r w:rsidRPr="00B5465C">
        <w:t>email</w:t>
      </w:r>
      <w:proofErr w:type="gramEnd"/>
      <w:r w:rsidRPr="00B5465C">
        <w:t xml:space="preserve">: </w:t>
      </w:r>
      <w:r w:rsidR="00DF2AD8">
        <w:t>rmcguire</w:t>
      </w:r>
      <w:r w:rsidRPr="00B403AD">
        <w:t>@binghamton.edu</w:t>
      </w:r>
      <w:r>
        <w:tab/>
      </w:r>
      <w:r>
        <w:tab/>
      </w:r>
      <w:r w:rsidRPr="00B5465C">
        <w:t>phone: 607-777-2</w:t>
      </w:r>
      <w:r>
        <w:t>100 (voicemail only)</w:t>
      </w:r>
      <w:r>
        <w:tab/>
      </w:r>
      <w:r>
        <w:tab/>
      </w:r>
    </w:p>
    <w:p w:rsidR="001C5CBD" w:rsidRDefault="00514C88" w:rsidP="00A25315">
      <w:proofErr w:type="gramStart"/>
      <w:r>
        <w:t>office</w:t>
      </w:r>
      <w:proofErr w:type="gramEnd"/>
      <w:r w:rsidR="00296C43">
        <w:t>:  Science I Room 22</w:t>
      </w:r>
      <w:r w:rsidR="00DF2AD8">
        <w:t>8</w:t>
      </w:r>
      <w:r>
        <w:t xml:space="preserve">, </w:t>
      </w:r>
      <w:r>
        <w:tab/>
      </w:r>
      <w:r>
        <w:tab/>
      </w:r>
      <w:r>
        <w:tab/>
        <w:t>office</w:t>
      </w:r>
      <w:r w:rsidR="00A25315" w:rsidRPr="00B5465C">
        <w:t xml:space="preserve"> </w:t>
      </w:r>
      <w:proofErr w:type="spellStart"/>
      <w:r w:rsidR="00A25315" w:rsidRPr="00B5465C">
        <w:t>hrs</w:t>
      </w:r>
      <w:proofErr w:type="spellEnd"/>
      <w:r w:rsidR="00A25315" w:rsidRPr="00B5465C">
        <w:t>:</w:t>
      </w:r>
      <w:r w:rsidR="00A25315">
        <w:t xml:space="preserve"> </w:t>
      </w:r>
      <w:r w:rsidR="001C5CBD" w:rsidRPr="001C5CBD">
        <w:t xml:space="preserve">M 10:00-11:00 am,  T 2:00-3:00 pm, </w:t>
      </w:r>
    </w:p>
    <w:p w:rsidR="00A25315" w:rsidRPr="00B5465C" w:rsidRDefault="001C5CBD" w:rsidP="001C5CBD">
      <w:pPr>
        <w:ind w:left="5040" w:firstLine="720"/>
      </w:pPr>
      <w:proofErr w:type="gramStart"/>
      <w:r w:rsidRPr="001C5CBD">
        <w:t>or</w:t>
      </w:r>
      <w:proofErr w:type="gramEnd"/>
      <w:r w:rsidRPr="001C5CBD">
        <w:t xml:space="preserve"> by appointment  </w:t>
      </w:r>
      <w:r w:rsidR="00A25315" w:rsidRPr="00B5465C">
        <w:tab/>
      </w:r>
      <w:r w:rsidR="00296C43">
        <w:tab/>
      </w:r>
      <w:r w:rsidR="00296C43">
        <w:tab/>
      </w:r>
    </w:p>
    <w:p w:rsidR="00A25315" w:rsidRDefault="00A25315" w:rsidP="00A25315">
      <w:pPr>
        <w:widowControl w:val="0"/>
        <w:autoSpaceDE w:val="0"/>
        <w:autoSpaceDN w:val="0"/>
        <w:adjustRightInd w:val="0"/>
        <w:rPr>
          <w:rFonts w:ascii="Times" w:hAnsi="Times" w:cs="Times-Roman"/>
          <w:u w:val="single"/>
          <w:lang w:bidi="en-US"/>
        </w:rPr>
      </w:pPr>
    </w:p>
    <w:p w:rsidR="00A25315" w:rsidRPr="00C17B13" w:rsidRDefault="00A25315" w:rsidP="00A25315">
      <w:pPr>
        <w:widowControl w:val="0"/>
        <w:autoSpaceDE w:val="0"/>
        <w:autoSpaceDN w:val="0"/>
        <w:adjustRightInd w:val="0"/>
      </w:pPr>
      <w:r w:rsidRPr="00C17B13">
        <w:rPr>
          <w:rFonts w:cs="Times-Roman"/>
          <w:b/>
          <w:lang w:bidi="en-US"/>
        </w:rPr>
        <w:t>Course Prospectus:</w:t>
      </w:r>
    </w:p>
    <w:p w:rsidR="00A25315" w:rsidRPr="00C17B13" w:rsidRDefault="00A25315">
      <w:pPr>
        <w:tabs>
          <w:tab w:val="left" w:pos="720"/>
          <w:tab w:val="left" w:pos="6300"/>
        </w:tabs>
      </w:pPr>
      <w:r w:rsidRPr="00610285">
        <w:rPr>
          <w:i/>
        </w:rPr>
        <w:t>Strategies in Archaeology</w:t>
      </w:r>
      <w:r w:rsidRPr="00C17B13">
        <w:t xml:space="preserve"> introduce</w:t>
      </w:r>
      <w:r w:rsidR="00DF2AD8">
        <w:t>s</w:t>
      </w:r>
      <w:r w:rsidRPr="00C17B13">
        <w:t xml:space="preserve"> students to the major theoretical frameworks shaping anthropological archaeology.  The course emphasizes current issues and debates in the discipline rather than a comprehensive historical overview.  However, the early weeks of the course will be devoted to a consideration of the historical foundations of major trends in the field.  Following this introductory section, we will intensively survey current theoretical positions and issues that are having significant impacts on the practice of archaeology today.  </w:t>
      </w:r>
    </w:p>
    <w:p w:rsidR="00A25315" w:rsidRPr="00C17B13" w:rsidRDefault="00A25315">
      <w:pPr>
        <w:tabs>
          <w:tab w:val="left" w:pos="6300"/>
        </w:tabs>
      </w:pPr>
    </w:p>
    <w:p w:rsidR="00A25315" w:rsidRPr="00C17B13" w:rsidRDefault="00A25315">
      <w:pPr>
        <w:tabs>
          <w:tab w:val="left" w:pos="6300"/>
        </w:tabs>
      </w:pPr>
      <w:r w:rsidRPr="00C17B13">
        <w:t xml:space="preserve">A central theme guiding the course is that of the archaeological research design.  Throughout the semester we will address the nature of archaeological enquiry by “taking apart” case studies to get at their objectives and the underlying structure of the research design used to address their goals.  Issues </w:t>
      </w:r>
      <w:proofErr w:type="gramStart"/>
      <w:r w:rsidRPr="00C17B13">
        <w:t>raised</w:t>
      </w:r>
      <w:proofErr w:type="gramEnd"/>
      <w:r w:rsidRPr="00C17B13">
        <w:t xml:space="preserve"> through readings and related discussions will resurface throughout the course as we examine the underpinnings of various perspectives and the attempts by archaeologists to articulate theory and practice.</w:t>
      </w:r>
    </w:p>
    <w:p w:rsidR="00A25315" w:rsidRPr="00C17B13" w:rsidRDefault="00A25315">
      <w:pPr>
        <w:tabs>
          <w:tab w:val="left" w:pos="6300"/>
        </w:tabs>
      </w:pPr>
    </w:p>
    <w:p w:rsidR="00A25315" w:rsidRPr="00C17B13" w:rsidRDefault="00A25315">
      <w:pPr>
        <w:tabs>
          <w:tab w:val="left" w:pos="6300"/>
        </w:tabs>
      </w:pPr>
      <w:r w:rsidRPr="00C17B13">
        <w:t>Some of the major topics we will be examining are processual archaeology (which characterizes much of North American archaeology) and Marxist, feminist, postprocessual, postcolonial, and collaborative approaches.  In addition to addressing the concepts that these various perspectives bring to bear on research design, we will be concerned with critically evaluating how researchers’ perceptions are affected by the dialectical relationship between theory and data.</w:t>
      </w:r>
    </w:p>
    <w:p w:rsidR="00A25315" w:rsidRPr="00C17B13" w:rsidRDefault="00A25315">
      <w:pPr>
        <w:tabs>
          <w:tab w:val="left" w:pos="6300"/>
        </w:tabs>
      </w:pPr>
    </w:p>
    <w:p w:rsidR="00A25315" w:rsidRPr="00C17B13" w:rsidRDefault="00A25315" w:rsidP="00A25315">
      <w:pPr>
        <w:pStyle w:val="BodyStyle"/>
        <w:tabs>
          <w:tab w:val="clear" w:pos="720"/>
          <w:tab w:val="clear" w:pos="1440"/>
          <w:tab w:val="clear" w:pos="7200"/>
          <w:tab w:val="left" w:pos="360"/>
          <w:tab w:val="left" w:pos="800"/>
          <w:tab w:val="left" w:pos="1800"/>
          <w:tab w:val="left" w:pos="6480"/>
        </w:tabs>
        <w:rPr>
          <w:b/>
        </w:rPr>
      </w:pPr>
      <w:r w:rsidRPr="00C17B13">
        <w:rPr>
          <w:b/>
        </w:rPr>
        <w:t>Course Format and Requirements</w:t>
      </w:r>
      <w:r>
        <w:rPr>
          <w:b/>
        </w:rPr>
        <w:t>:</w:t>
      </w:r>
    </w:p>
    <w:p w:rsidR="00A25315" w:rsidRPr="00C17B13" w:rsidRDefault="00A25315" w:rsidP="00A25315">
      <w:pPr>
        <w:tabs>
          <w:tab w:val="left" w:pos="6300"/>
        </w:tabs>
      </w:pPr>
      <w:r w:rsidRPr="00C17B13">
        <w:t>The format of the course is a three-hour seminar.  Some material will be presented in a lecture style, but most meetings will be discussion-based.  Regular, informed discussion is expected of all students in a seminar, and you should come to each session prepared to talk about any and all of the readings.  Lack of participation in class discussions will have a negative effect on your grade and on your learning.</w:t>
      </w:r>
      <w:r>
        <w:t xml:space="preserve">  </w:t>
      </w:r>
    </w:p>
    <w:p w:rsidR="00A25315" w:rsidRPr="00C17B13" w:rsidRDefault="00A25315" w:rsidP="00A25315">
      <w:pPr>
        <w:pStyle w:val="BodyStyle"/>
        <w:tabs>
          <w:tab w:val="clear" w:pos="720"/>
          <w:tab w:val="clear" w:pos="1440"/>
          <w:tab w:val="clear" w:pos="7200"/>
          <w:tab w:val="left" w:pos="360"/>
          <w:tab w:val="left" w:pos="800"/>
          <w:tab w:val="left" w:pos="1800"/>
          <w:tab w:val="left" w:pos="6480"/>
        </w:tabs>
        <w:jc w:val="center"/>
        <w:rPr>
          <w:b/>
        </w:rPr>
      </w:pPr>
    </w:p>
    <w:p w:rsidR="00A25315" w:rsidRPr="00C17B13" w:rsidRDefault="00A25315" w:rsidP="00A25315">
      <w:pPr>
        <w:pStyle w:val="BodyStyle"/>
        <w:tabs>
          <w:tab w:val="clear" w:pos="720"/>
          <w:tab w:val="clear" w:pos="1440"/>
          <w:tab w:val="clear" w:pos="7200"/>
          <w:tab w:val="left" w:pos="360"/>
          <w:tab w:val="left" w:pos="800"/>
          <w:tab w:val="left" w:pos="1800"/>
          <w:tab w:val="left" w:pos="6480"/>
        </w:tabs>
        <w:rPr>
          <w:b/>
        </w:rPr>
      </w:pPr>
      <w:r>
        <w:rPr>
          <w:b/>
        </w:rPr>
        <w:t xml:space="preserve">Course </w:t>
      </w:r>
      <w:r w:rsidRPr="00C17B13">
        <w:rPr>
          <w:b/>
        </w:rPr>
        <w:t>Materials:</w:t>
      </w:r>
    </w:p>
    <w:p w:rsidR="00A25315" w:rsidRPr="00E20707" w:rsidRDefault="00A25315" w:rsidP="00A25315">
      <w:pPr>
        <w:pStyle w:val="BodyStyle"/>
        <w:tabs>
          <w:tab w:val="clear" w:pos="720"/>
          <w:tab w:val="clear" w:pos="1440"/>
          <w:tab w:val="clear" w:pos="7200"/>
          <w:tab w:val="left" w:pos="360"/>
          <w:tab w:val="left" w:pos="800"/>
          <w:tab w:val="left" w:pos="1800"/>
          <w:tab w:val="left" w:pos="6480"/>
        </w:tabs>
      </w:pPr>
      <w:r>
        <w:t>There are t</w:t>
      </w:r>
      <w:r w:rsidR="00BD420D">
        <w:t>wo</w:t>
      </w:r>
      <w:r w:rsidRPr="00E20707">
        <w:t xml:space="preserve"> required texts </w:t>
      </w:r>
      <w:r>
        <w:t>t</w:t>
      </w:r>
      <w:r w:rsidRPr="00E20707">
        <w:t xml:space="preserve">hat can be obtained at the University bookstore or though online booksellers.  </w:t>
      </w:r>
    </w:p>
    <w:p w:rsidR="00A25315" w:rsidRDefault="00A25315">
      <w:pPr>
        <w:tabs>
          <w:tab w:val="left" w:pos="6300"/>
        </w:tabs>
      </w:pPr>
    </w:p>
    <w:p w:rsidR="0016694C" w:rsidRDefault="0016694C">
      <w:pPr>
        <w:tabs>
          <w:tab w:val="left" w:pos="6300"/>
        </w:tabs>
      </w:pPr>
    </w:p>
    <w:p w:rsidR="0016694C" w:rsidRPr="00E20707" w:rsidRDefault="0016694C">
      <w:pPr>
        <w:tabs>
          <w:tab w:val="left" w:pos="6300"/>
        </w:tabs>
      </w:pPr>
    </w:p>
    <w:p w:rsidR="00A25315" w:rsidRPr="00DB7106" w:rsidRDefault="00A25315">
      <w:pPr>
        <w:tabs>
          <w:tab w:val="left" w:pos="6300"/>
        </w:tabs>
        <w:rPr>
          <w:u w:val="single"/>
        </w:rPr>
      </w:pPr>
      <w:r w:rsidRPr="00DB7106">
        <w:rPr>
          <w:u w:val="single"/>
        </w:rPr>
        <w:t>Required Texts</w:t>
      </w:r>
    </w:p>
    <w:p w:rsidR="00A25315" w:rsidRDefault="00A25315" w:rsidP="00A25315">
      <w:pPr>
        <w:tabs>
          <w:tab w:val="left" w:pos="0"/>
          <w:tab w:val="left" w:pos="180"/>
        </w:tabs>
      </w:pPr>
      <w:r>
        <w:t xml:space="preserve">Trigger, Bruce (2006) </w:t>
      </w:r>
      <w:r w:rsidRPr="00E20707">
        <w:rPr>
          <w:i/>
        </w:rPr>
        <w:t>A History of Archaeological Thought</w:t>
      </w:r>
      <w:r w:rsidRPr="00E20707">
        <w:t>.  Cambridge: Cambridge University Press.</w:t>
      </w:r>
    </w:p>
    <w:p w:rsidR="00D06137" w:rsidRDefault="00D06137" w:rsidP="00A25315">
      <w:pPr>
        <w:tabs>
          <w:tab w:val="left" w:pos="0"/>
          <w:tab w:val="left" w:pos="180"/>
        </w:tabs>
      </w:pPr>
    </w:p>
    <w:p w:rsidR="00D06137" w:rsidRPr="00D06137" w:rsidRDefault="00D06137" w:rsidP="00A25315">
      <w:pPr>
        <w:tabs>
          <w:tab w:val="left" w:pos="0"/>
          <w:tab w:val="left" w:pos="180"/>
        </w:tabs>
      </w:pPr>
      <w:r>
        <w:t xml:space="preserve">Johnson, Matthew (2010) </w:t>
      </w:r>
      <w:r>
        <w:rPr>
          <w:i/>
        </w:rPr>
        <w:t xml:space="preserve">Archaeological Theory: An Introduction. </w:t>
      </w:r>
      <w:r>
        <w:t xml:space="preserve"> 2</w:t>
      </w:r>
      <w:r w:rsidRPr="00D06137">
        <w:rPr>
          <w:vertAlign w:val="superscript"/>
        </w:rPr>
        <w:t>nd</w:t>
      </w:r>
      <w:r>
        <w:t xml:space="preserve"> edition, Oxford</w:t>
      </w:r>
      <w:r w:rsidRPr="00E20707">
        <w:t xml:space="preserve">: </w:t>
      </w:r>
      <w:r w:rsidRPr="00D06137">
        <w:t>Wiley-Blackwell</w:t>
      </w:r>
      <w:r w:rsidRPr="00E20707">
        <w:t>.</w:t>
      </w:r>
    </w:p>
    <w:p w:rsidR="00A25315" w:rsidRPr="00E20707" w:rsidRDefault="00A25315">
      <w:pPr>
        <w:tabs>
          <w:tab w:val="left" w:pos="900"/>
        </w:tabs>
        <w:ind w:left="900" w:hanging="900"/>
      </w:pPr>
    </w:p>
    <w:p w:rsidR="00A25315" w:rsidRPr="007E38DC" w:rsidRDefault="00A25315" w:rsidP="00A25315">
      <w:pPr>
        <w:tabs>
          <w:tab w:val="left" w:pos="900"/>
        </w:tabs>
      </w:pPr>
      <w:r>
        <w:t xml:space="preserve">Trigger provides a </w:t>
      </w:r>
      <w:r w:rsidRPr="007E38DC">
        <w:t>comprehensive overview of historical developments in archaeology, and you will read most of it ove</w:t>
      </w:r>
      <w:r>
        <w:t xml:space="preserve">r the course of the semester.  </w:t>
      </w:r>
      <w:r w:rsidR="0016694C">
        <w:t>Johnson provides an overview of contemporary theory in archaeology.</w:t>
      </w:r>
    </w:p>
    <w:p w:rsidR="00A25315" w:rsidRPr="007E38DC" w:rsidRDefault="00A25315">
      <w:pPr>
        <w:tabs>
          <w:tab w:val="left" w:pos="6300"/>
        </w:tabs>
      </w:pPr>
    </w:p>
    <w:p w:rsidR="00A25315" w:rsidRPr="007E38DC" w:rsidRDefault="00A25315">
      <w:pPr>
        <w:tabs>
          <w:tab w:val="left" w:pos="6300"/>
        </w:tabs>
      </w:pPr>
      <w:r w:rsidRPr="007E38DC">
        <w:rPr>
          <w:b/>
        </w:rPr>
        <w:t>Other readings</w:t>
      </w:r>
      <w:r w:rsidRPr="007E38DC">
        <w:t>:  Most of the readings for the course will come from journal articles and book chapters.  These can be found on electronic reserve in “Course Reserves” on our course Blackboard site.</w:t>
      </w:r>
    </w:p>
    <w:p w:rsidR="00A25315" w:rsidRPr="007E38DC" w:rsidRDefault="00A25315">
      <w:pPr>
        <w:tabs>
          <w:tab w:val="left" w:pos="6300"/>
        </w:tabs>
      </w:pPr>
    </w:p>
    <w:p w:rsidR="00A25315" w:rsidRPr="007E38DC" w:rsidRDefault="00A25315" w:rsidP="00A25315">
      <w:pPr>
        <w:pStyle w:val="BodyStyle"/>
        <w:tabs>
          <w:tab w:val="clear" w:pos="720"/>
          <w:tab w:val="clear" w:pos="1440"/>
          <w:tab w:val="clear" w:pos="7200"/>
          <w:tab w:val="left" w:pos="360"/>
          <w:tab w:val="left" w:pos="800"/>
          <w:tab w:val="left" w:pos="1800"/>
          <w:tab w:val="left" w:pos="6480"/>
        </w:tabs>
        <w:rPr>
          <w:b/>
        </w:rPr>
      </w:pPr>
      <w:r w:rsidRPr="007E38DC">
        <w:rPr>
          <w:b/>
        </w:rPr>
        <w:t>Grades</w:t>
      </w:r>
    </w:p>
    <w:p w:rsidR="00A25315" w:rsidRDefault="00A25315">
      <w:pPr>
        <w:pStyle w:val="BodyStyle"/>
        <w:tabs>
          <w:tab w:val="clear" w:pos="720"/>
          <w:tab w:val="clear" w:pos="1440"/>
          <w:tab w:val="clear" w:pos="7200"/>
          <w:tab w:val="left" w:pos="360"/>
          <w:tab w:val="left" w:pos="800"/>
          <w:tab w:val="left" w:pos="1800"/>
          <w:tab w:val="left" w:pos="6480"/>
        </w:tabs>
      </w:pPr>
      <w:r w:rsidRPr="00C17B13">
        <w:t>This is a graduate level course.</w:t>
      </w:r>
      <w:r>
        <w:t xml:space="preserve">  </w:t>
      </w:r>
      <w:r w:rsidRPr="007E38DC">
        <w:t>Grades are based on your annotations, class participation, midterm essay, research design, and final essay</w:t>
      </w:r>
      <w:r>
        <w:t>, as follows</w:t>
      </w:r>
      <w:r w:rsidRPr="007E38DC">
        <w:t>:</w:t>
      </w:r>
    </w:p>
    <w:p w:rsidR="00A25315" w:rsidRPr="007E38DC" w:rsidRDefault="00A25315">
      <w:pPr>
        <w:pStyle w:val="BodyStyle"/>
        <w:tabs>
          <w:tab w:val="clear" w:pos="720"/>
          <w:tab w:val="clear" w:pos="1440"/>
          <w:tab w:val="clear" w:pos="7200"/>
          <w:tab w:val="left" w:pos="360"/>
          <w:tab w:val="left" w:pos="800"/>
          <w:tab w:val="left" w:pos="1800"/>
          <w:tab w:val="left" w:pos="6480"/>
        </w:tabs>
      </w:pPr>
    </w:p>
    <w:p w:rsidR="00A25315" w:rsidRPr="007E38DC" w:rsidRDefault="00A25315" w:rsidP="00A25315">
      <w:pPr>
        <w:pStyle w:val="BodyStyle"/>
        <w:tabs>
          <w:tab w:val="clear" w:pos="720"/>
          <w:tab w:val="clear" w:pos="1440"/>
          <w:tab w:val="clear" w:pos="7200"/>
          <w:tab w:val="left" w:pos="360"/>
          <w:tab w:val="left" w:pos="800"/>
          <w:tab w:val="left" w:pos="1800"/>
          <w:tab w:val="left" w:pos="6480"/>
        </w:tabs>
        <w:jc w:val="center"/>
      </w:pPr>
      <w:r w:rsidRPr="007E38DC">
        <w:t xml:space="preserve">Annotations:  </w:t>
      </w:r>
      <w:r w:rsidRPr="007E38DC">
        <w:tab/>
        <w:t>30%</w:t>
      </w:r>
    </w:p>
    <w:p w:rsidR="00A25315" w:rsidRPr="007E38DC" w:rsidRDefault="00A25315" w:rsidP="00A25315">
      <w:pPr>
        <w:pStyle w:val="BodyStyle"/>
        <w:tabs>
          <w:tab w:val="clear" w:pos="720"/>
          <w:tab w:val="clear" w:pos="1440"/>
          <w:tab w:val="clear" w:pos="7200"/>
          <w:tab w:val="left" w:pos="360"/>
          <w:tab w:val="left" w:pos="800"/>
          <w:tab w:val="left" w:pos="1800"/>
          <w:tab w:val="left" w:pos="6480"/>
        </w:tabs>
        <w:jc w:val="center"/>
      </w:pPr>
      <w:r w:rsidRPr="007E38DC">
        <w:t xml:space="preserve">Participation:  </w:t>
      </w:r>
      <w:r w:rsidRPr="007E38DC">
        <w:tab/>
        <w:t>1</w:t>
      </w:r>
      <w:r w:rsidR="00744988">
        <w:t>5</w:t>
      </w:r>
      <w:r w:rsidRPr="007E38DC">
        <w:t>%</w:t>
      </w:r>
    </w:p>
    <w:p w:rsidR="00A25315" w:rsidRPr="007E38DC" w:rsidRDefault="00A25315" w:rsidP="00A25315">
      <w:pPr>
        <w:pStyle w:val="BodyStyle"/>
        <w:tabs>
          <w:tab w:val="clear" w:pos="720"/>
          <w:tab w:val="clear" w:pos="1440"/>
          <w:tab w:val="clear" w:pos="7200"/>
          <w:tab w:val="left" w:pos="360"/>
          <w:tab w:val="left" w:pos="800"/>
          <w:tab w:val="left" w:pos="1800"/>
          <w:tab w:val="left" w:pos="6480"/>
        </w:tabs>
        <w:jc w:val="center"/>
      </w:pPr>
      <w:r w:rsidRPr="007E38DC">
        <w:t xml:space="preserve">Midterm Essay:  </w:t>
      </w:r>
      <w:r w:rsidRPr="007E38DC">
        <w:tab/>
        <w:t>15%</w:t>
      </w:r>
    </w:p>
    <w:p w:rsidR="00A25315" w:rsidRPr="007E38DC" w:rsidRDefault="00A25315" w:rsidP="00A25315">
      <w:pPr>
        <w:pStyle w:val="BodyStyle"/>
        <w:tabs>
          <w:tab w:val="clear" w:pos="720"/>
          <w:tab w:val="clear" w:pos="1440"/>
          <w:tab w:val="clear" w:pos="7200"/>
          <w:tab w:val="left" w:pos="360"/>
          <w:tab w:val="left" w:pos="800"/>
          <w:tab w:val="left" w:pos="1800"/>
          <w:tab w:val="left" w:pos="6480"/>
        </w:tabs>
        <w:jc w:val="center"/>
      </w:pPr>
      <w:r w:rsidRPr="007E38DC">
        <w:t xml:space="preserve">Research Design:  </w:t>
      </w:r>
      <w:r w:rsidR="00744988">
        <w:t>25</w:t>
      </w:r>
      <w:r w:rsidRPr="007E38DC">
        <w:t>%</w:t>
      </w:r>
    </w:p>
    <w:p w:rsidR="00A25315" w:rsidRPr="007E38DC" w:rsidRDefault="00A25315" w:rsidP="00A25315">
      <w:pPr>
        <w:pStyle w:val="BodyStyle"/>
        <w:tabs>
          <w:tab w:val="clear" w:pos="720"/>
          <w:tab w:val="clear" w:pos="1440"/>
          <w:tab w:val="clear" w:pos="7200"/>
          <w:tab w:val="left" w:pos="360"/>
          <w:tab w:val="left" w:pos="800"/>
          <w:tab w:val="left" w:pos="1800"/>
          <w:tab w:val="left" w:pos="6480"/>
        </w:tabs>
        <w:jc w:val="center"/>
      </w:pPr>
      <w:r w:rsidRPr="007E38DC">
        <w:t xml:space="preserve">Final Essay:  </w:t>
      </w:r>
      <w:r w:rsidRPr="007E38DC">
        <w:tab/>
        <w:t>15%</w:t>
      </w:r>
    </w:p>
    <w:p w:rsidR="00A25315" w:rsidRPr="007E38DC" w:rsidRDefault="00A25315" w:rsidP="00A25315">
      <w:pPr>
        <w:pStyle w:val="BodyStyle"/>
        <w:tabs>
          <w:tab w:val="clear" w:pos="720"/>
          <w:tab w:val="clear" w:pos="1440"/>
          <w:tab w:val="clear" w:pos="7200"/>
          <w:tab w:val="left" w:pos="360"/>
          <w:tab w:val="left" w:pos="800"/>
          <w:tab w:val="left" w:pos="1800"/>
          <w:tab w:val="left" w:pos="6480"/>
        </w:tabs>
        <w:rPr>
          <w:b/>
        </w:rPr>
      </w:pPr>
      <w:r w:rsidRPr="007E38DC">
        <w:tab/>
      </w:r>
      <w:r w:rsidRPr="007E38DC">
        <w:tab/>
        <w:t xml:space="preserve">                                     </w:t>
      </w:r>
    </w:p>
    <w:p w:rsidR="00A25315" w:rsidRPr="0030285E" w:rsidRDefault="00A25315" w:rsidP="00A25315">
      <w:pPr>
        <w:pStyle w:val="MediumList2-Accent41"/>
        <w:ind w:left="0"/>
        <w:rPr>
          <w:rFonts w:ascii="Times New Roman" w:hAnsi="Times New Roman"/>
          <w:sz w:val="24"/>
        </w:rPr>
      </w:pPr>
      <w:r w:rsidRPr="007E38DC">
        <w:rPr>
          <w:rFonts w:ascii="Times New Roman" w:hAnsi="Times New Roman"/>
          <w:b/>
          <w:sz w:val="24"/>
        </w:rPr>
        <w:t>Annotations (30%)</w:t>
      </w:r>
      <w:r w:rsidRPr="007E38DC">
        <w:rPr>
          <w:rFonts w:ascii="Times New Roman" w:hAnsi="Times New Roman"/>
          <w:sz w:val="24"/>
        </w:rPr>
        <w:t>: Annotations are capsule summaries that are descriptive and critical.  Over the semester you will write annotations following the framework below.  You must submit</w:t>
      </w:r>
      <w:r w:rsidR="006830F1">
        <w:rPr>
          <w:rFonts w:ascii="Times New Roman" w:hAnsi="Times New Roman"/>
          <w:sz w:val="24"/>
        </w:rPr>
        <w:t xml:space="preserve"> an</w:t>
      </w:r>
      <w:r w:rsidRPr="007E38DC">
        <w:rPr>
          <w:rFonts w:ascii="Times New Roman" w:hAnsi="Times New Roman"/>
          <w:sz w:val="24"/>
        </w:rPr>
        <w:t xml:space="preserve"> annotatio</w:t>
      </w:r>
      <w:r>
        <w:rPr>
          <w:rFonts w:ascii="Times New Roman" w:hAnsi="Times New Roman"/>
          <w:sz w:val="24"/>
        </w:rPr>
        <w:t xml:space="preserve">n </w:t>
      </w:r>
      <w:r w:rsidR="00C24E75">
        <w:rPr>
          <w:rFonts w:ascii="Times New Roman" w:hAnsi="Times New Roman"/>
          <w:sz w:val="24"/>
        </w:rPr>
        <w:t>of</w:t>
      </w:r>
      <w:r w:rsidR="006830F1">
        <w:rPr>
          <w:rFonts w:ascii="Times New Roman" w:hAnsi="Times New Roman"/>
          <w:sz w:val="24"/>
        </w:rPr>
        <w:t xml:space="preserve"> one </w:t>
      </w:r>
      <w:r>
        <w:rPr>
          <w:rFonts w:ascii="Times New Roman" w:hAnsi="Times New Roman"/>
          <w:sz w:val="24"/>
        </w:rPr>
        <w:t>work</w:t>
      </w:r>
      <w:r w:rsidR="006830F1">
        <w:rPr>
          <w:rFonts w:ascii="Times New Roman" w:hAnsi="Times New Roman"/>
          <w:sz w:val="24"/>
        </w:rPr>
        <w:t xml:space="preserve"> </w:t>
      </w:r>
      <w:r>
        <w:rPr>
          <w:rFonts w:ascii="Times New Roman" w:hAnsi="Times New Roman"/>
          <w:sz w:val="24"/>
        </w:rPr>
        <w:t xml:space="preserve">for at least </w:t>
      </w:r>
      <w:r w:rsidR="006830F1">
        <w:rPr>
          <w:rFonts w:ascii="Times New Roman" w:hAnsi="Times New Roman"/>
          <w:sz w:val="24"/>
        </w:rPr>
        <w:t>10</w:t>
      </w:r>
      <w:r w:rsidRPr="007E38DC">
        <w:rPr>
          <w:rFonts w:ascii="Times New Roman" w:hAnsi="Times New Roman"/>
          <w:sz w:val="24"/>
        </w:rPr>
        <w:t xml:space="preserve"> class meetings. </w:t>
      </w:r>
      <w:r>
        <w:rPr>
          <w:rFonts w:ascii="Times New Roman" w:hAnsi="Times New Roman"/>
          <w:sz w:val="24"/>
        </w:rPr>
        <w:t>We will assign a letter grade to each annotation</w:t>
      </w:r>
      <w:r w:rsidRPr="007E38DC">
        <w:rPr>
          <w:rFonts w:ascii="Times New Roman" w:hAnsi="Times New Roman"/>
          <w:sz w:val="24"/>
        </w:rPr>
        <w:t xml:space="preserve">. </w:t>
      </w:r>
      <w:r>
        <w:rPr>
          <w:rFonts w:ascii="Times New Roman" w:hAnsi="Times New Roman"/>
          <w:sz w:val="24"/>
        </w:rPr>
        <w:t>Please do not annotate readings from your textbooks (</w:t>
      </w:r>
      <w:r w:rsidR="00D06137">
        <w:rPr>
          <w:rFonts w:ascii="Times New Roman" w:hAnsi="Times New Roman"/>
          <w:sz w:val="24"/>
        </w:rPr>
        <w:t>Trigger &amp; Johnson</w:t>
      </w:r>
      <w:r>
        <w:rPr>
          <w:rFonts w:ascii="Times New Roman" w:hAnsi="Times New Roman"/>
          <w:sz w:val="24"/>
        </w:rPr>
        <w:t>)–these readings are descriptive and synthetic and thus are not suitable for annotation.  Also, v</w:t>
      </w:r>
      <w:r w:rsidRPr="007E38DC">
        <w:rPr>
          <w:rFonts w:ascii="Times New Roman" w:hAnsi="Times New Roman"/>
          <w:sz w:val="24"/>
        </w:rPr>
        <w:t xml:space="preserve">ery short </w:t>
      </w:r>
      <w:r>
        <w:rPr>
          <w:rFonts w:ascii="Times New Roman" w:hAnsi="Times New Roman"/>
          <w:sz w:val="24"/>
        </w:rPr>
        <w:t xml:space="preserve">reading </w:t>
      </w:r>
      <w:r w:rsidRPr="007E38DC">
        <w:rPr>
          <w:rFonts w:ascii="Times New Roman" w:hAnsi="Times New Roman"/>
          <w:sz w:val="24"/>
        </w:rPr>
        <w:t>excerpts are not suitable for annotation.</w:t>
      </w:r>
      <w:r>
        <w:rPr>
          <w:rFonts w:ascii="Times New Roman" w:hAnsi="Times New Roman"/>
          <w:sz w:val="24"/>
        </w:rPr>
        <w:t xml:space="preserve">  </w:t>
      </w:r>
      <w:r w:rsidRPr="0030285E">
        <w:rPr>
          <w:rFonts w:ascii="Times New Roman" w:hAnsi="Times New Roman"/>
          <w:sz w:val="24"/>
        </w:rPr>
        <w:t xml:space="preserve">Each annotation must be submitted at the class for which the reading is assigned.  No late annotations will be accepted. </w:t>
      </w:r>
    </w:p>
    <w:p w:rsidR="00A25315" w:rsidRPr="0030285E" w:rsidRDefault="00A25315" w:rsidP="00A25315">
      <w:pPr>
        <w:pStyle w:val="MediumList2-Accent41"/>
        <w:ind w:left="0"/>
        <w:rPr>
          <w:rFonts w:ascii="Times New Roman" w:hAnsi="Times New Roman"/>
          <w:sz w:val="24"/>
        </w:rPr>
      </w:pPr>
    </w:p>
    <w:p w:rsidR="00392A50" w:rsidRDefault="00A25315" w:rsidP="00A25315">
      <w:pPr>
        <w:pStyle w:val="MediumList2-Accent41"/>
        <w:ind w:left="0"/>
        <w:rPr>
          <w:rFonts w:ascii="Times New Roman" w:hAnsi="Times New Roman"/>
          <w:sz w:val="24"/>
        </w:rPr>
      </w:pPr>
      <w:r>
        <w:rPr>
          <w:rFonts w:ascii="Times New Roman" w:hAnsi="Times New Roman"/>
          <w:sz w:val="24"/>
        </w:rPr>
        <w:t>The</w:t>
      </w:r>
      <w:r w:rsidRPr="007E38DC">
        <w:rPr>
          <w:rFonts w:ascii="Times New Roman" w:hAnsi="Times New Roman"/>
          <w:sz w:val="24"/>
        </w:rPr>
        <w:t xml:space="preserve"> annotations are aimed at facilitating your efforts to “take apart” scholarly works to get at the researcher’s objectives and the underlying structure of the research design used to address their goals. The emphasis is on thinking critically and reflectively on the readings, not simply summarizing them.</w:t>
      </w:r>
      <w:r w:rsidRPr="0030285E">
        <w:rPr>
          <w:rFonts w:ascii="Times New Roman" w:hAnsi="Times New Roman"/>
          <w:sz w:val="24"/>
        </w:rPr>
        <w:t xml:space="preserve"> </w:t>
      </w:r>
    </w:p>
    <w:p w:rsidR="00392A50" w:rsidRDefault="00392A50">
      <w:r>
        <w:br w:type="page"/>
      </w:r>
    </w:p>
    <w:p w:rsidR="00A25315" w:rsidRPr="00D805A5" w:rsidRDefault="00A25315">
      <w:pPr>
        <w:pBdr>
          <w:top w:val="single" w:sz="4" w:space="1" w:color="auto"/>
          <w:left w:val="single" w:sz="4" w:space="4" w:color="auto"/>
          <w:bottom w:val="single" w:sz="4" w:space="1" w:color="auto"/>
          <w:right w:val="single" w:sz="4" w:space="4" w:color="auto"/>
        </w:pBdr>
        <w:spacing w:line="480" w:lineRule="auto"/>
      </w:pPr>
      <w:r w:rsidRPr="00D805A5">
        <w:rPr>
          <w:b/>
        </w:rPr>
        <w:lastRenderedPageBreak/>
        <w:t>Annotation Template:</w:t>
      </w:r>
      <w:r w:rsidRPr="00D805A5">
        <w:t xml:space="preserve"> Each annotation should be approximately 2 double-spaced pages in length.  Address the following questions in essay format.</w:t>
      </w:r>
    </w:p>
    <w:p w:rsidR="00A25315" w:rsidRPr="00D805A5" w:rsidRDefault="00A25315">
      <w:pPr>
        <w:pStyle w:val="MediumList2-Accent41"/>
        <w:numPr>
          <w:ilvl w:val="0"/>
          <w:numId w:val="2"/>
        </w:numPr>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rPr>
      </w:pPr>
      <w:r w:rsidRPr="00D805A5">
        <w:rPr>
          <w:rFonts w:ascii="Times New Roman" w:hAnsi="Times New Roman"/>
          <w:sz w:val="24"/>
        </w:rPr>
        <w:t>What three quotes capture the critical import of the text?</w:t>
      </w:r>
    </w:p>
    <w:p w:rsidR="00A25315" w:rsidRPr="00D805A5" w:rsidRDefault="00A25315">
      <w:pPr>
        <w:pStyle w:val="MediumList2-Accent41"/>
        <w:numPr>
          <w:ilvl w:val="0"/>
          <w:numId w:val="2"/>
        </w:numPr>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rPr>
      </w:pPr>
      <w:r w:rsidRPr="00D805A5">
        <w:rPr>
          <w:rFonts w:ascii="Times New Roman" w:hAnsi="Times New Roman"/>
          <w:sz w:val="24"/>
        </w:rPr>
        <w:t>What is the main argument of the text?</w:t>
      </w:r>
    </w:p>
    <w:p w:rsidR="00A25315" w:rsidRPr="00D805A5" w:rsidRDefault="00A25315">
      <w:pPr>
        <w:pStyle w:val="MediumList2-Accent41"/>
        <w:numPr>
          <w:ilvl w:val="0"/>
          <w:numId w:val="2"/>
        </w:numPr>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rPr>
      </w:pPr>
      <w:r w:rsidRPr="00D805A5">
        <w:rPr>
          <w:rFonts w:ascii="Times New Roman" w:hAnsi="Times New Roman"/>
          <w:sz w:val="24"/>
        </w:rPr>
        <w:t>Describe at least three ways that the main argument is supported.</w:t>
      </w:r>
    </w:p>
    <w:p w:rsidR="00A25315" w:rsidRPr="00D805A5" w:rsidRDefault="00A25315">
      <w:pPr>
        <w:pStyle w:val="MediumList2-Accent41"/>
        <w:numPr>
          <w:ilvl w:val="0"/>
          <w:numId w:val="2"/>
        </w:numPr>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rPr>
      </w:pPr>
      <w:r w:rsidRPr="00D805A5">
        <w:rPr>
          <w:rFonts w:ascii="Times New Roman" w:hAnsi="Times New Roman"/>
          <w:sz w:val="24"/>
        </w:rPr>
        <w:t>Describe the main literatures that the text draws on and contributes to.</w:t>
      </w:r>
    </w:p>
    <w:p w:rsidR="00A25315" w:rsidRPr="00D805A5" w:rsidRDefault="00A25315">
      <w:pPr>
        <w:pStyle w:val="MediumList2-Accent41"/>
        <w:numPr>
          <w:ilvl w:val="0"/>
          <w:numId w:val="2"/>
        </w:numPr>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rPr>
      </w:pPr>
      <w:r w:rsidRPr="00D805A5">
        <w:rPr>
          <w:rFonts w:ascii="Times New Roman" w:hAnsi="Times New Roman"/>
          <w:sz w:val="24"/>
        </w:rPr>
        <w:t>Describe at least three of the text’s themes or topics that are of significance to our understanding of the theory and practice of archaeology.</w:t>
      </w:r>
    </w:p>
    <w:p w:rsidR="00A25315" w:rsidRPr="006B0965" w:rsidRDefault="003B5D69" w:rsidP="003B5D69">
      <w:pPr>
        <w:pStyle w:val="MediumList2-Accent41"/>
        <w:numPr>
          <w:ilvl w:val="0"/>
          <w:numId w:val="2"/>
        </w:numPr>
        <w:pBdr>
          <w:top w:val="single" w:sz="4" w:space="1" w:color="auto"/>
          <w:left w:val="single" w:sz="4" w:space="4" w:color="auto"/>
          <w:bottom w:val="single" w:sz="4" w:space="1" w:color="auto"/>
          <w:right w:val="single" w:sz="4" w:space="4" w:color="auto"/>
        </w:pBdr>
        <w:tabs>
          <w:tab w:val="left" w:pos="360"/>
          <w:tab w:val="left" w:pos="800"/>
          <w:tab w:val="left" w:pos="1800"/>
          <w:tab w:val="left" w:pos="6480"/>
        </w:tabs>
        <w:spacing w:line="480" w:lineRule="auto"/>
      </w:pPr>
      <w:r>
        <w:rPr>
          <w:rFonts w:ascii="Times New Roman" w:hAnsi="Times New Roman"/>
          <w:sz w:val="24"/>
        </w:rPr>
        <w:t>Are there ideas in the</w:t>
      </w:r>
      <w:r w:rsidR="006B0965">
        <w:rPr>
          <w:rFonts w:ascii="Times New Roman" w:hAnsi="Times New Roman"/>
          <w:sz w:val="24"/>
        </w:rPr>
        <w:t xml:space="preserve"> text that you can apply to your own research? If so, explain how. If not, provide a justification. </w:t>
      </w:r>
    </w:p>
    <w:p w:rsidR="001372CF" w:rsidRDefault="001372CF" w:rsidP="00A25315">
      <w:pPr>
        <w:pStyle w:val="BodyStyle"/>
        <w:tabs>
          <w:tab w:val="clear" w:pos="720"/>
          <w:tab w:val="clear" w:pos="1440"/>
          <w:tab w:val="clear" w:pos="7200"/>
          <w:tab w:val="left" w:pos="360"/>
          <w:tab w:val="left" w:pos="800"/>
          <w:tab w:val="left" w:pos="1800"/>
          <w:tab w:val="left" w:pos="6480"/>
        </w:tabs>
        <w:rPr>
          <w:b/>
        </w:rPr>
      </w:pPr>
    </w:p>
    <w:p w:rsidR="00A25315" w:rsidRPr="00AB3B09" w:rsidRDefault="00A25315" w:rsidP="00A25315">
      <w:pPr>
        <w:pStyle w:val="BodyStyle"/>
        <w:tabs>
          <w:tab w:val="clear" w:pos="720"/>
          <w:tab w:val="clear" w:pos="1440"/>
          <w:tab w:val="clear" w:pos="7200"/>
          <w:tab w:val="left" w:pos="360"/>
          <w:tab w:val="left" w:pos="800"/>
          <w:tab w:val="left" w:pos="1800"/>
          <w:tab w:val="left" w:pos="6480"/>
        </w:tabs>
        <w:rPr>
          <w:b/>
        </w:rPr>
      </w:pPr>
      <w:r w:rsidRPr="00AB3B09">
        <w:rPr>
          <w:b/>
        </w:rPr>
        <w:t>Participation (1</w:t>
      </w:r>
      <w:r w:rsidR="00D22825">
        <w:rPr>
          <w:b/>
        </w:rPr>
        <w:t>5</w:t>
      </w:r>
      <w:r w:rsidRPr="00AB3B09">
        <w:rPr>
          <w:b/>
        </w:rPr>
        <w:t xml:space="preserve">%):  </w:t>
      </w:r>
      <w:r w:rsidRPr="00AB3B09">
        <w:t xml:space="preserve">All students are expected to have completed the readings prior to class meetings and come prepared to synthesize and discuss them in depth.  This requires that you come prepared with something to stimulate and contribute to conversation (e.g., cross-cutting themes, questions, or critiques).  Because this is a small seminar, it is even more important that students come to class ready to participate in discussion.  You will be evaluated on the quality of your contributions.  </w:t>
      </w:r>
    </w:p>
    <w:p w:rsidR="00A25315" w:rsidRPr="00AB3B09" w:rsidRDefault="00A25315">
      <w:pPr>
        <w:tabs>
          <w:tab w:val="left" w:pos="6300"/>
        </w:tabs>
      </w:pPr>
      <w:r w:rsidRPr="00AB3B09">
        <w:tab/>
      </w:r>
    </w:p>
    <w:p w:rsidR="00A25315" w:rsidRPr="00AB3B09" w:rsidRDefault="00A25315" w:rsidP="00A25315">
      <w:pPr>
        <w:tabs>
          <w:tab w:val="left" w:pos="720"/>
          <w:tab w:val="left" w:pos="1152"/>
          <w:tab w:val="left" w:pos="1440"/>
          <w:tab w:val="left" w:pos="6300"/>
        </w:tabs>
      </w:pPr>
      <w:r w:rsidRPr="00AB3B09">
        <w:rPr>
          <w:b/>
        </w:rPr>
        <w:t>Midterm Essay (15%):</w:t>
      </w:r>
      <w:r w:rsidRPr="00AB3B09">
        <w:t xml:space="preserve">  The midterm will consist of a take-home essay exam that will cover the course material up to the date of the midterm.  You will receive the question(s) for the midterm no later than 1 week before the exam is due. </w:t>
      </w:r>
      <w:r w:rsidRPr="00AB3B09">
        <w:rPr>
          <w:b/>
          <w:i/>
        </w:rPr>
        <w:t xml:space="preserve">Due in class on October </w:t>
      </w:r>
      <w:r w:rsidR="00D06137">
        <w:rPr>
          <w:b/>
          <w:i/>
        </w:rPr>
        <w:t>22</w:t>
      </w:r>
    </w:p>
    <w:p w:rsidR="00A25315" w:rsidRPr="00AB3B09" w:rsidRDefault="00A25315">
      <w:pPr>
        <w:tabs>
          <w:tab w:val="left" w:pos="720"/>
          <w:tab w:val="left" w:pos="1440"/>
          <w:tab w:val="left" w:pos="6300"/>
        </w:tabs>
        <w:ind w:left="1440" w:hanging="1440"/>
      </w:pPr>
    </w:p>
    <w:p w:rsidR="00A25315" w:rsidRPr="00AB3B09" w:rsidRDefault="00A25315" w:rsidP="00A25315">
      <w:pPr>
        <w:tabs>
          <w:tab w:val="left" w:pos="720"/>
          <w:tab w:val="left" w:pos="1152"/>
          <w:tab w:val="left" w:pos="1440"/>
          <w:tab w:val="left" w:pos="6300"/>
        </w:tabs>
      </w:pPr>
      <w:r w:rsidRPr="00AB3B09">
        <w:rPr>
          <w:b/>
        </w:rPr>
        <w:t>Final Essay (15%):</w:t>
      </w:r>
      <w:r w:rsidRPr="00AB3B09">
        <w:t xml:space="preserve">  The final will consist of a take-home essay exam that will cover the course material from the second half of the semester.  You will receive the question(s) for the midterm no later than 1 week before the exam is due. </w:t>
      </w:r>
      <w:r w:rsidRPr="00AB3B09">
        <w:rPr>
          <w:b/>
          <w:i/>
        </w:rPr>
        <w:t xml:space="preserve">Due by 12 noon on December </w:t>
      </w:r>
      <w:r w:rsidR="005956AB">
        <w:rPr>
          <w:b/>
          <w:i/>
        </w:rPr>
        <w:t>1</w:t>
      </w:r>
      <w:r w:rsidR="00D06137">
        <w:rPr>
          <w:b/>
          <w:i/>
        </w:rPr>
        <w:t>7</w:t>
      </w:r>
    </w:p>
    <w:p w:rsidR="00A25315" w:rsidRPr="00AB3B09" w:rsidRDefault="00A25315">
      <w:pPr>
        <w:tabs>
          <w:tab w:val="left" w:pos="720"/>
          <w:tab w:val="left" w:pos="1440"/>
          <w:tab w:val="left" w:pos="6300"/>
        </w:tabs>
        <w:ind w:left="1440" w:hanging="1440"/>
      </w:pPr>
    </w:p>
    <w:p w:rsidR="00A25315" w:rsidRPr="00AB3B09" w:rsidRDefault="00A25315" w:rsidP="00A25315">
      <w:pPr>
        <w:tabs>
          <w:tab w:val="left" w:pos="0"/>
          <w:tab w:val="left" w:pos="720"/>
          <w:tab w:val="left" w:pos="6300"/>
        </w:tabs>
        <w:rPr>
          <w:b/>
          <w:i/>
        </w:rPr>
      </w:pPr>
      <w:r w:rsidRPr="00AB3B09">
        <w:rPr>
          <w:b/>
        </w:rPr>
        <w:t>Research Design (</w:t>
      </w:r>
      <w:r w:rsidR="00D22825">
        <w:rPr>
          <w:b/>
        </w:rPr>
        <w:t>25</w:t>
      </w:r>
      <w:r w:rsidRPr="00AB3B09">
        <w:rPr>
          <w:b/>
        </w:rPr>
        <w:t xml:space="preserve">%): </w:t>
      </w:r>
      <w:r w:rsidRPr="00AB3B09">
        <w:t xml:space="preserve"> The research design consists of a paper of approximately 12-15 pages (12 pt. font, double-spaced, 1” margins), in which you present a specific research problem, linked to a particular theoretical and/or methodological framework, and a plan for investigating the problem.  This research design may form the core of your research proposal when you take Anth 592 (Proposal Writing).  </w:t>
      </w:r>
      <w:r w:rsidRPr="00AB3B09">
        <w:rPr>
          <w:b/>
          <w:i/>
        </w:rPr>
        <w:t xml:space="preserve">Due </w:t>
      </w:r>
      <w:r w:rsidR="00AA3F22">
        <w:rPr>
          <w:b/>
          <w:i/>
        </w:rPr>
        <w:t>by noon</w:t>
      </w:r>
      <w:r w:rsidRPr="00AB3B09">
        <w:rPr>
          <w:b/>
          <w:i/>
        </w:rPr>
        <w:t xml:space="preserve"> </w:t>
      </w:r>
      <w:r>
        <w:rPr>
          <w:b/>
          <w:i/>
        </w:rPr>
        <w:t xml:space="preserve">on November </w:t>
      </w:r>
      <w:r w:rsidR="00AA3F22">
        <w:rPr>
          <w:b/>
          <w:i/>
        </w:rPr>
        <w:t>26</w:t>
      </w:r>
    </w:p>
    <w:p w:rsidR="00A25315" w:rsidRPr="00AB3B09" w:rsidRDefault="00A25315" w:rsidP="00A25315">
      <w:pPr>
        <w:tabs>
          <w:tab w:val="left" w:pos="0"/>
          <w:tab w:val="left" w:pos="720"/>
          <w:tab w:val="left" w:pos="6300"/>
        </w:tabs>
      </w:pPr>
    </w:p>
    <w:p w:rsidR="00A25315" w:rsidRPr="00AB3B09" w:rsidRDefault="00A25315" w:rsidP="00A25315">
      <w:pPr>
        <w:tabs>
          <w:tab w:val="left" w:pos="720"/>
          <w:tab w:val="left" w:pos="1440"/>
          <w:tab w:val="left" w:pos="6300"/>
        </w:tabs>
      </w:pPr>
      <w:r w:rsidRPr="00AB3B09">
        <w:t xml:space="preserve">The specific topic for the research design is at your discretion.  However, you are advised to choose a subject and study area with which you already have some familiarity and/or which you may choose for your MA or PhD research.  It is to your benefit to choose a topic relatively early in the semester so that you can begin your research as soon as possible.  As you begin to think </w:t>
      </w:r>
      <w:r w:rsidRPr="00AB3B09">
        <w:lastRenderedPageBreak/>
        <w:t xml:space="preserve">about your topic, please come speak to </w:t>
      </w:r>
      <w:r w:rsidR="00D06137">
        <w:t>me and your advisor</w:t>
      </w:r>
      <w:r w:rsidR="00722BA3" w:rsidRPr="00AB3B09">
        <w:t xml:space="preserve"> </w:t>
      </w:r>
      <w:r w:rsidRPr="00AB3B09">
        <w:t>about it so</w:t>
      </w:r>
      <w:r w:rsidR="00722BA3">
        <w:t xml:space="preserve"> we</w:t>
      </w:r>
      <w:r w:rsidRPr="00AB3B09">
        <w:t xml:space="preserve"> can offer guidance.  We will be talking about research design throughout the semester, but we will devote</w:t>
      </w:r>
      <w:r w:rsidR="00622D4C">
        <w:t xml:space="preserve"> a portion of</w:t>
      </w:r>
      <w:r w:rsidRPr="00AB3B09">
        <w:t xml:space="preserve"> one class, on </w:t>
      </w:r>
      <w:r w:rsidRPr="00AB3B09">
        <w:rPr>
          <w:b/>
        </w:rPr>
        <w:t xml:space="preserve">October </w:t>
      </w:r>
      <w:r w:rsidR="00D06137">
        <w:rPr>
          <w:b/>
        </w:rPr>
        <w:t>8</w:t>
      </w:r>
      <w:r w:rsidRPr="00AB3B09">
        <w:t>, to a specific discussion of some of the nuts and bolts of putting a good research design together.  You should come prepared to discuss the topic and direction of your research design.</w:t>
      </w:r>
    </w:p>
    <w:p w:rsidR="00A25315" w:rsidRPr="00FC2FF3" w:rsidRDefault="00A25315" w:rsidP="00C961A8">
      <w:pPr>
        <w:tabs>
          <w:tab w:val="left" w:pos="720"/>
          <w:tab w:val="left" w:pos="1440"/>
          <w:tab w:val="left" w:pos="6300"/>
        </w:tabs>
      </w:pPr>
    </w:p>
    <w:p w:rsidR="007025ED" w:rsidRDefault="007025ED" w:rsidP="007025ED">
      <w:pPr>
        <w:widowControl w:val="0"/>
        <w:autoSpaceDE w:val="0"/>
        <w:autoSpaceDN w:val="0"/>
        <w:adjustRightInd w:val="0"/>
      </w:pPr>
      <w:r>
        <w:t>General grading detail for written and oral assignments and participation:</w:t>
      </w:r>
    </w:p>
    <w:p w:rsidR="007025ED" w:rsidRDefault="007025ED" w:rsidP="007025ED">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7025ED" w:rsidTr="008170AF">
        <w:tc>
          <w:tcPr>
            <w:tcW w:w="2178" w:type="dxa"/>
            <w:shd w:val="clear" w:color="auto" w:fill="auto"/>
          </w:tcPr>
          <w:p w:rsidR="007025ED" w:rsidRDefault="007025ED" w:rsidP="008170AF">
            <w:pPr>
              <w:widowControl w:val="0"/>
              <w:autoSpaceDE w:val="0"/>
              <w:autoSpaceDN w:val="0"/>
              <w:adjustRightInd w:val="0"/>
            </w:pPr>
            <w:r>
              <w:t>Letter Grade &amp;</w:t>
            </w:r>
          </w:p>
          <w:p w:rsidR="007025ED" w:rsidRDefault="007025ED" w:rsidP="008170AF">
            <w:pPr>
              <w:widowControl w:val="0"/>
              <w:autoSpaceDE w:val="0"/>
              <w:autoSpaceDN w:val="0"/>
              <w:adjustRightInd w:val="0"/>
            </w:pPr>
            <w:r>
              <w:t>Numeric Equivalent</w:t>
            </w:r>
          </w:p>
        </w:tc>
        <w:tc>
          <w:tcPr>
            <w:tcW w:w="7398" w:type="dxa"/>
            <w:shd w:val="clear" w:color="auto" w:fill="auto"/>
          </w:tcPr>
          <w:p w:rsidR="007025ED" w:rsidRDefault="007025ED" w:rsidP="008170AF">
            <w:pPr>
              <w:widowControl w:val="0"/>
              <w:autoSpaceDE w:val="0"/>
              <w:autoSpaceDN w:val="0"/>
              <w:adjustRightInd w:val="0"/>
            </w:pPr>
            <w:r>
              <w:t>Comments</w:t>
            </w:r>
          </w:p>
        </w:tc>
      </w:tr>
      <w:tr w:rsidR="007025ED" w:rsidTr="008170AF">
        <w:tc>
          <w:tcPr>
            <w:tcW w:w="2178" w:type="dxa"/>
            <w:shd w:val="clear" w:color="auto" w:fill="auto"/>
          </w:tcPr>
          <w:p w:rsidR="007025ED" w:rsidRDefault="007025ED" w:rsidP="008170AF">
            <w:pPr>
              <w:widowControl w:val="0"/>
              <w:autoSpaceDE w:val="0"/>
              <w:autoSpaceDN w:val="0"/>
              <w:adjustRightInd w:val="0"/>
            </w:pPr>
            <w:r>
              <w:t>A (95)</w:t>
            </w:r>
          </w:p>
        </w:tc>
        <w:tc>
          <w:tcPr>
            <w:tcW w:w="7398" w:type="dxa"/>
            <w:shd w:val="clear" w:color="auto" w:fill="auto"/>
          </w:tcPr>
          <w:p w:rsidR="007025ED" w:rsidRDefault="007025ED" w:rsidP="008170AF">
            <w:pPr>
              <w:widowControl w:val="0"/>
              <w:autoSpaceDE w:val="0"/>
              <w:autoSpaceDN w:val="0"/>
              <w:adjustRightInd w:val="0"/>
            </w:pPr>
            <w:r>
              <w:t>Excellent. Well-written/clearly communicated, demonstrates a clear</w:t>
            </w:r>
          </w:p>
          <w:p w:rsidR="007025ED" w:rsidRDefault="007025ED" w:rsidP="008170AF">
            <w:pPr>
              <w:widowControl w:val="0"/>
              <w:autoSpaceDE w:val="0"/>
              <w:autoSpaceDN w:val="0"/>
              <w:adjustRightInd w:val="0"/>
            </w:pPr>
            <w:proofErr w:type="gramStart"/>
            <w:r>
              <w:t>understanding</w:t>
            </w:r>
            <w:proofErr w:type="gramEnd"/>
            <w:r>
              <w:t xml:space="preserve"> of material and shows critical and creative thinking. For</w:t>
            </w:r>
          </w:p>
          <w:p w:rsidR="007025ED" w:rsidRDefault="007025ED" w:rsidP="008170AF">
            <w:pPr>
              <w:widowControl w:val="0"/>
              <w:autoSpaceDE w:val="0"/>
              <w:autoSpaceDN w:val="0"/>
              <w:adjustRightInd w:val="0"/>
            </w:pPr>
            <w:r>
              <w:t>participation, consistently strong and productive contributions with</w:t>
            </w:r>
          </w:p>
          <w:p w:rsidR="007025ED" w:rsidRDefault="007025ED" w:rsidP="008170AF">
            <w:pPr>
              <w:widowControl w:val="0"/>
              <w:autoSpaceDE w:val="0"/>
              <w:autoSpaceDN w:val="0"/>
              <w:adjustRightInd w:val="0"/>
            </w:pPr>
            <w:proofErr w:type="gramStart"/>
            <w:r>
              <w:t>original</w:t>
            </w:r>
            <w:proofErr w:type="gramEnd"/>
            <w:r>
              <w:t xml:space="preserve"> or creative insights. Always prepared for discussion.</w:t>
            </w:r>
          </w:p>
        </w:tc>
      </w:tr>
      <w:tr w:rsidR="007025ED" w:rsidTr="008170AF">
        <w:tc>
          <w:tcPr>
            <w:tcW w:w="2178" w:type="dxa"/>
            <w:shd w:val="clear" w:color="auto" w:fill="auto"/>
          </w:tcPr>
          <w:p w:rsidR="007025ED" w:rsidRDefault="007025ED" w:rsidP="008170AF">
            <w:pPr>
              <w:widowControl w:val="0"/>
              <w:autoSpaceDE w:val="0"/>
              <w:autoSpaceDN w:val="0"/>
              <w:adjustRightInd w:val="0"/>
            </w:pPr>
            <w:r>
              <w:t>B/B+/A-</w:t>
            </w:r>
          </w:p>
          <w:p w:rsidR="007025ED" w:rsidRDefault="007025ED" w:rsidP="008170AF">
            <w:pPr>
              <w:widowControl w:val="0"/>
              <w:autoSpaceDE w:val="0"/>
              <w:autoSpaceDN w:val="0"/>
              <w:adjustRightInd w:val="0"/>
            </w:pPr>
            <w:r>
              <w:t>(85/88/91)</w:t>
            </w:r>
          </w:p>
        </w:tc>
        <w:tc>
          <w:tcPr>
            <w:tcW w:w="7398" w:type="dxa"/>
            <w:shd w:val="clear" w:color="auto" w:fill="auto"/>
          </w:tcPr>
          <w:p w:rsidR="007025ED" w:rsidRDefault="007025ED" w:rsidP="008170AF">
            <w:pPr>
              <w:widowControl w:val="0"/>
              <w:autoSpaceDE w:val="0"/>
              <w:autoSpaceDN w:val="0"/>
              <w:adjustRightInd w:val="0"/>
            </w:pPr>
            <w:r>
              <w:t>Good to very good. Fulfilled the assignment, with a few</w:t>
            </w:r>
          </w:p>
          <w:p w:rsidR="007025ED" w:rsidRDefault="007025ED" w:rsidP="008170AF">
            <w:pPr>
              <w:widowControl w:val="0"/>
              <w:autoSpaceDE w:val="0"/>
              <w:autoSpaceDN w:val="0"/>
              <w:adjustRightInd w:val="0"/>
            </w:pPr>
            <w:proofErr w:type="gramStart"/>
            <w:r>
              <w:t>improvements</w:t>
            </w:r>
            <w:proofErr w:type="gramEnd"/>
            <w:r>
              <w:t xml:space="preserve"> suggested. Shows understanding that goes beyond simple</w:t>
            </w:r>
          </w:p>
          <w:p w:rsidR="007025ED" w:rsidRDefault="007025ED" w:rsidP="008170AF">
            <w:pPr>
              <w:widowControl w:val="0"/>
              <w:autoSpaceDE w:val="0"/>
              <w:autoSpaceDN w:val="0"/>
              <w:adjustRightInd w:val="0"/>
            </w:pPr>
            <w:proofErr w:type="gramStart"/>
            <w:r>
              <w:t>definitions</w:t>
            </w:r>
            <w:proofErr w:type="gramEnd"/>
            <w:r>
              <w:t>. For participation, generally strong and productive</w:t>
            </w:r>
          </w:p>
          <w:p w:rsidR="007025ED" w:rsidRDefault="007025ED" w:rsidP="008170AF">
            <w:pPr>
              <w:widowControl w:val="0"/>
              <w:autoSpaceDE w:val="0"/>
              <w:autoSpaceDN w:val="0"/>
              <w:adjustRightInd w:val="0"/>
            </w:pPr>
            <w:proofErr w:type="gramStart"/>
            <w:r>
              <w:t>contributions</w:t>
            </w:r>
            <w:proofErr w:type="gramEnd"/>
            <w:r>
              <w:t>. Consistently prepared for discussion.</w:t>
            </w:r>
          </w:p>
        </w:tc>
      </w:tr>
      <w:tr w:rsidR="007025ED" w:rsidTr="008170AF">
        <w:tc>
          <w:tcPr>
            <w:tcW w:w="2178" w:type="dxa"/>
            <w:shd w:val="clear" w:color="auto" w:fill="auto"/>
          </w:tcPr>
          <w:p w:rsidR="00784EC7" w:rsidRDefault="00784EC7" w:rsidP="008170AF">
            <w:pPr>
              <w:widowControl w:val="0"/>
              <w:autoSpaceDE w:val="0"/>
              <w:autoSpaceDN w:val="0"/>
              <w:adjustRightInd w:val="0"/>
            </w:pPr>
            <w:r>
              <w:t>C/C+/B-</w:t>
            </w:r>
          </w:p>
          <w:p w:rsidR="007025ED" w:rsidRDefault="00784EC7" w:rsidP="008170AF">
            <w:pPr>
              <w:widowControl w:val="0"/>
              <w:autoSpaceDE w:val="0"/>
              <w:autoSpaceDN w:val="0"/>
              <w:adjustRightInd w:val="0"/>
            </w:pPr>
            <w:r>
              <w:t>(75/78/81)</w:t>
            </w:r>
          </w:p>
        </w:tc>
        <w:tc>
          <w:tcPr>
            <w:tcW w:w="7398" w:type="dxa"/>
            <w:shd w:val="clear" w:color="auto" w:fill="auto"/>
          </w:tcPr>
          <w:p w:rsidR="00784EC7" w:rsidRDefault="00784EC7" w:rsidP="008170AF">
            <w:pPr>
              <w:widowControl w:val="0"/>
              <w:autoSpaceDE w:val="0"/>
              <w:autoSpaceDN w:val="0"/>
              <w:adjustRightInd w:val="0"/>
            </w:pPr>
            <w:r>
              <w:t>Basically completed the assignment as required, but little more. General</w:t>
            </w:r>
          </w:p>
          <w:p w:rsidR="00784EC7" w:rsidRDefault="00784EC7" w:rsidP="008170AF">
            <w:pPr>
              <w:widowControl w:val="0"/>
              <w:autoSpaceDE w:val="0"/>
              <w:autoSpaceDN w:val="0"/>
              <w:adjustRightInd w:val="0"/>
            </w:pPr>
            <w:proofErr w:type="gramStart"/>
            <w:r>
              <w:t>understanding</w:t>
            </w:r>
            <w:proofErr w:type="gramEnd"/>
            <w:r>
              <w:t xml:space="preserve"> demonstrated. For participation, some substantive</w:t>
            </w:r>
          </w:p>
          <w:p w:rsidR="00784EC7" w:rsidRDefault="00784EC7" w:rsidP="008170AF">
            <w:pPr>
              <w:widowControl w:val="0"/>
              <w:autoSpaceDE w:val="0"/>
              <w:autoSpaceDN w:val="0"/>
              <w:adjustRightInd w:val="0"/>
            </w:pPr>
            <w:proofErr w:type="gramStart"/>
            <w:r>
              <w:t>contributions</w:t>
            </w:r>
            <w:proofErr w:type="gramEnd"/>
            <w:r>
              <w:t>, but little more than minimum expectations met.</w:t>
            </w:r>
          </w:p>
          <w:p w:rsidR="007025ED" w:rsidRDefault="00784EC7" w:rsidP="008170AF">
            <w:pPr>
              <w:widowControl w:val="0"/>
              <w:autoSpaceDE w:val="0"/>
              <w:autoSpaceDN w:val="0"/>
              <w:adjustRightInd w:val="0"/>
            </w:pPr>
            <w:r>
              <w:t>Occasional lateness, missed class, or lack of participation.</w:t>
            </w:r>
          </w:p>
        </w:tc>
      </w:tr>
      <w:tr w:rsidR="007025ED" w:rsidTr="008170AF">
        <w:tc>
          <w:tcPr>
            <w:tcW w:w="2178" w:type="dxa"/>
            <w:shd w:val="clear" w:color="auto" w:fill="auto"/>
          </w:tcPr>
          <w:p w:rsidR="00784EC7" w:rsidRDefault="00784EC7" w:rsidP="008170AF">
            <w:pPr>
              <w:widowControl w:val="0"/>
              <w:autoSpaceDE w:val="0"/>
              <w:autoSpaceDN w:val="0"/>
              <w:adjustRightInd w:val="0"/>
            </w:pPr>
            <w:r>
              <w:t>D/C-</w:t>
            </w:r>
          </w:p>
          <w:p w:rsidR="007025ED" w:rsidRDefault="00784EC7" w:rsidP="008170AF">
            <w:pPr>
              <w:widowControl w:val="0"/>
              <w:autoSpaceDE w:val="0"/>
              <w:autoSpaceDN w:val="0"/>
              <w:adjustRightInd w:val="0"/>
            </w:pPr>
            <w:r>
              <w:t>(65/71)</w:t>
            </w:r>
          </w:p>
        </w:tc>
        <w:tc>
          <w:tcPr>
            <w:tcW w:w="7398" w:type="dxa"/>
            <w:shd w:val="clear" w:color="auto" w:fill="auto"/>
          </w:tcPr>
          <w:p w:rsidR="00784EC7" w:rsidRDefault="00784EC7" w:rsidP="008170AF">
            <w:pPr>
              <w:widowControl w:val="0"/>
              <w:autoSpaceDE w:val="0"/>
              <w:autoSpaceDN w:val="0"/>
              <w:adjustRightInd w:val="0"/>
            </w:pPr>
            <w:r>
              <w:t>Content missing and limited demonstration of understanding.</w:t>
            </w:r>
          </w:p>
          <w:p w:rsidR="007025ED" w:rsidRDefault="00784EC7" w:rsidP="008170AF">
            <w:pPr>
              <w:widowControl w:val="0"/>
              <w:autoSpaceDE w:val="0"/>
              <w:autoSpaceDN w:val="0"/>
              <w:adjustRightInd w:val="0"/>
            </w:pPr>
            <w:r>
              <w:t>Consistently lacking in participation.</w:t>
            </w:r>
          </w:p>
        </w:tc>
      </w:tr>
      <w:tr w:rsidR="007025ED" w:rsidTr="008170AF">
        <w:tc>
          <w:tcPr>
            <w:tcW w:w="2178" w:type="dxa"/>
            <w:shd w:val="clear" w:color="auto" w:fill="auto"/>
          </w:tcPr>
          <w:p w:rsidR="00784EC7" w:rsidRDefault="00784EC7" w:rsidP="008170AF">
            <w:pPr>
              <w:widowControl w:val="0"/>
              <w:autoSpaceDE w:val="0"/>
              <w:autoSpaceDN w:val="0"/>
              <w:adjustRightInd w:val="0"/>
            </w:pPr>
            <w:r>
              <w:t>F</w:t>
            </w:r>
          </w:p>
          <w:p w:rsidR="007025ED" w:rsidRDefault="00784EC7" w:rsidP="008170AF">
            <w:pPr>
              <w:widowControl w:val="0"/>
              <w:autoSpaceDE w:val="0"/>
              <w:autoSpaceDN w:val="0"/>
              <w:adjustRightInd w:val="0"/>
            </w:pPr>
            <w:r>
              <w:t>(0-60)</w:t>
            </w:r>
          </w:p>
        </w:tc>
        <w:tc>
          <w:tcPr>
            <w:tcW w:w="7398" w:type="dxa"/>
            <w:shd w:val="clear" w:color="auto" w:fill="auto"/>
          </w:tcPr>
          <w:p w:rsidR="00784EC7" w:rsidRDefault="00784EC7" w:rsidP="008170AF">
            <w:pPr>
              <w:widowControl w:val="0"/>
              <w:autoSpaceDE w:val="0"/>
              <w:autoSpaceDN w:val="0"/>
              <w:adjustRightInd w:val="0"/>
            </w:pPr>
            <w:r>
              <w:t>Missing significant content or did not follow guidelines. Major</w:t>
            </w:r>
          </w:p>
          <w:p w:rsidR="007025ED" w:rsidRDefault="00784EC7" w:rsidP="008170AF">
            <w:pPr>
              <w:widowControl w:val="0"/>
              <w:autoSpaceDE w:val="0"/>
              <w:autoSpaceDN w:val="0"/>
              <w:adjustRightInd w:val="0"/>
            </w:pPr>
            <w:proofErr w:type="gramStart"/>
            <w:r>
              <w:t>omissions</w:t>
            </w:r>
            <w:proofErr w:type="gramEnd"/>
            <w:r>
              <w:t xml:space="preserve"> and no understanding demonstrated.</w:t>
            </w:r>
            <w:r w:rsidR="00240DAD">
              <w:t xml:space="preserve">  Multiple absences and/or no participation in discussions.</w:t>
            </w:r>
          </w:p>
        </w:tc>
      </w:tr>
    </w:tbl>
    <w:p w:rsidR="007025ED" w:rsidRDefault="007025ED" w:rsidP="007025ED">
      <w:pPr>
        <w:widowControl w:val="0"/>
        <w:autoSpaceDE w:val="0"/>
        <w:autoSpaceDN w:val="0"/>
        <w:adjustRightInd w:val="0"/>
      </w:pPr>
    </w:p>
    <w:p w:rsidR="007025ED" w:rsidRDefault="007025ED" w:rsidP="007025ED">
      <w:pPr>
        <w:widowControl w:val="0"/>
        <w:autoSpaceDE w:val="0"/>
        <w:autoSpaceDN w:val="0"/>
        <w:adjustRightInd w:val="0"/>
      </w:pPr>
      <w:r>
        <w:t>Final Course Grade Letter/Numeric Conversion:</w:t>
      </w:r>
    </w:p>
    <w:p w:rsidR="007025ED" w:rsidRDefault="007025ED" w:rsidP="00386737">
      <w:pPr>
        <w:widowControl w:val="0"/>
        <w:autoSpaceDE w:val="0"/>
        <w:autoSpaceDN w:val="0"/>
        <w:adjustRightInd w:val="0"/>
        <w:jc w:val="center"/>
      </w:pPr>
      <w:r>
        <w:t>A = 92.5 and above</w:t>
      </w:r>
    </w:p>
    <w:p w:rsidR="007025ED" w:rsidRDefault="007025ED" w:rsidP="00386737">
      <w:pPr>
        <w:widowControl w:val="0"/>
        <w:autoSpaceDE w:val="0"/>
        <w:autoSpaceDN w:val="0"/>
        <w:adjustRightInd w:val="0"/>
        <w:jc w:val="center"/>
      </w:pPr>
      <w:r>
        <w:t>A- = 89.5 and above</w:t>
      </w:r>
    </w:p>
    <w:p w:rsidR="007025ED" w:rsidRDefault="007025ED" w:rsidP="00386737">
      <w:pPr>
        <w:widowControl w:val="0"/>
        <w:autoSpaceDE w:val="0"/>
        <w:autoSpaceDN w:val="0"/>
        <w:adjustRightInd w:val="0"/>
        <w:jc w:val="center"/>
      </w:pPr>
      <w:r>
        <w:t>B+ = 86.5 and above</w:t>
      </w:r>
    </w:p>
    <w:p w:rsidR="007025ED" w:rsidRDefault="007025ED" w:rsidP="00386737">
      <w:pPr>
        <w:widowControl w:val="0"/>
        <w:autoSpaceDE w:val="0"/>
        <w:autoSpaceDN w:val="0"/>
        <w:adjustRightInd w:val="0"/>
        <w:jc w:val="center"/>
      </w:pPr>
      <w:r>
        <w:t>B = 82.5 and above</w:t>
      </w:r>
    </w:p>
    <w:p w:rsidR="007025ED" w:rsidRDefault="007025ED" w:rsidP="00386737">
      <w:pPr>
        <w:widowControl w:val="0"/>
        <w:autoSpaceDE w:val="0"/>
        <w:autoSpaceDN w:val="0"/>
        <w:adjustRightInd w:val="0"/>
        <w:jc w:val="center"/>
      </w:pPr>
      <w:r>
        <w:t>B- = 79.5 and above</w:t>
      </w:r>
    </w:p>
    <w:p w:rsidR="007025ED" w:rsidRDefault="007025ED" w:rsidP="00386737">
      <w:pPr>
        <w:widowControl w:val="0"/>
        <w:autoSpaceDE w:val="0"/>
        <w:autoSpaceDN w:val="0"/>
        <w:adjustRightInd w:val="0"/>
        <w:jc w:val="center"/>
      </w:pPr>
      <w:r>
        <w:t>C+ = 76.5 and above</w:t>
      </w:r>
    </w:p>
    <w:p w:rsidR="007025ED" w:rsidRDefault="007025ED" w:rsidP="00386737">
      <w:pPr>
        <w:widowControl w:val="0"/>
        <w:autoSpaceDE w:val="0"/>
        <w:autoSpaceDN w:val="0"/>
        <w:adjustRightInd w:val="0"/>
        <w:jc w:val="center"/>
      </w:pPr>
      <w:r>
        <w:t>C = 72.5 and above</w:t>
      </w:r>
    </w:p>
    <w:p w:rsidR="007025ED" w:rsidRDefault="007025ED" w:rsidP="00386737">
      <w:pPr>
        <w:widowControl w:val="0"/>
        <w:autoSpaceDE w:val="0"/>
        <w:autoSpaceDN w:val="0"/>
        <w:adjustRightInd w:val="0"/>
        <w:jc w:val="center"/>
      </w:pPr>
      <w:r>
        <w:t>C- = 69.5 and above</w:t>
      </w:r>
    </w:p>
    <w:p w:rsidR="007025ED" w:rsidRDefault="007025ED" w:rsidP="00386737">
      <w:pPr>
        <w:widowControl w:val="0"/>
        <w:autoSpaceDE w:val="0"/>
        <w:autoSpaceDN w:val="0"/>
        <w:adjustRightInd w:val="0"/>
        <w:jc w:val="center"/>
      </w:pPr>
      <w:r>
        <w:t>D = 62.5 and above</w:t>
      </w:r>
    </w:p>
    <w:p w:rsidR="00A25315" w:rsidRPr="00D3265B" w:rsidRDefault="007025ED" w:rsidP="00461753">
      <w:pPr>
        <w:tabs>
          <w:tab w:val="left" w:pos="720"/>
          <w:tab w:val="left" w:pos="1440"/>
          <w:tab w:val="left" w:pos="6300"/>
        </w:tabs>
        <w:ind w:left="1440" w:hanging="1440"/>
        <w:jc w:val="center"/>
        <w:rPr>
          <w:szCs w:val="28"/>
          <w:u w:val="single"/>
        </w:rPr>
      </w:pPr>
      <w:r>
        <w:t>F = 62.4 and below</w:t>
      </w:r>
      <w:r w:rsidRPr="00FC2FF3">
        <w:rPr>
          <w:b/>
          <w:szCs w:val="28"/>
          <w:u w:val="single"/>
        </w:rPr>
        <w:t xml:space="preserve"> </w:t>
      </w:r>
      <w:r w:rsidR="00A25315" w:rsidRPr="00FC2FF3">
        <w:rPr>
          <w:b/>
          <w:szCs w:val="28"/>
          <w:u w:val="single"/>
        </w:rPr>
        <w:br w:type="page"/>
      </w:r>
      <w:r w:rsidR="00A25315" w:rsidRPr="00D3265B">
        <w:rPr>
          <w:b/>
          <w:szCs w:val="28"/>
          <w:u w:val="single"/>
        </w:rPr>
        <w:lastRenderedPageBreak/>
        <w:t>Course Schedule and Readings</w:t>
      </w:r>
    </w:p>
    <w:p w:rsidR="00A25315" w:rsidRPr="00D3265B" w:rsidRDefault="00A25315">
      <w:pPr>
        <w:tabs>
          <w:tab w:val="left" w:pos="720"/>
          <w:tab w:val="left" w:pos="1440"/>
          <w:tab w:val="left" w:pos="6300"/>
        </w:tabs>
        <w:ind w:left="1440" w:hanging="1440"/>
      </w:pPr>
    </w:p>
    <w:p w:rsidR="00A25315" w:rsidRPr="00873527" w:rsidRDefault="00B140AB">
      <w:pPr>
        <w:rPr>
          <w:b/>
        </w:rPr>
      </w:pPr>
      <w:r w:rsidRPr="00873527">
        <w:rPr>
          <w:b/>
        </w:rPr>
        <w:t>September 3</w:t>
      </w:r>
      <w:r w:rsidR="00A25315" w:rsidRPr="00873527">
        <w:rPr>
          <w:b/>
        </w:rPr>
        <w:t xml:space="preserve"> - Introductions</w:t>
      </w:r>
    </w:p>
    <w:p w:rsidR="00A25315" w:rsidRPr="00873527" w:rsidRDefault="00A25315"/>
    <w:p w:rsidR="00A25315" w:rsidRPr="00873527" w:rsidRDefault="00B140AB">
      <w:r w:rsidRPr="00873527">
        <w:t>Trigger, Chapters 1, 2, 3, &amp; 4</w:t>
      </w:r>
    </w:p>
    <w:p w:rsidR="00B140AB" w:rsidRPr="00873527" w:rsidRDefault="00B140AB">
      <w:r w:rsidRPr="00873527">
        <w:t>Johnson, Preface &amp; Chapter 1</w:t>
      </w:r>
    </w:p>
    <w:p w:rsidR="00B140AB" w:rsidRPr="00873527" w:rsidRDefault="00B140AB"/>
    <w:p w:rsidR="00A25315" w:rsidRPr="00873527" w:rsidRDefault="00B140AB">
      <w:r w:rsidRPr="00873527">
        <w:t>R</w:t>
      </w:r>
      <w:r w:rsidR="00A25315" w:rsidRPr="00873527">
        <w:t>ead before the first class meeting.</w:t>
      </w:r>
    </w:p>
    <w:p w:rsidR="00A25315" w:rsidRPr="00873527" w:rsidRDefault="006A3FB7">
      <w:pPr>
        <w:rPr>
          <w:b/>
        </w:rPr>
      </w:pPr>
      <w:r>
        <w:rPr>
          <w:b/>
        </w:rPr>
        <w:pict>
          <v:rect id="_x0000_i1025" style="width:0;height:1.5pt" o:hralign="center" o:hrstd="t" o:hr="t" fillcolor="#aaa" stroked="f"/>
        </w:pict>
      </w:r>
    </w:p>
    <w:p w:rsidR="00A25315" w:rsidRPr="00873527" w:rsidRDefault="00A25315" w:rsidP="00A25315">
      <w:pPr>
        <w:rPr>
          <w:bCs/>
        </w:rPr>
      </w:pPr>
      <w:r w:rsidRPr="00873527">
        <w:rPr>
          <w:b/>
        </w:rPr>
        <w:t>September 1</w:t>
      </w:r>
      <w:r w:rsidR="00B140AB" w:rsidRPr="00873527">
        <w:rPr>
          <w:b/>
        </w:rPr>
        <w:t>0</w:t>
      </w:r>
      <w:r w:rsidRPr="00873527">
        <w:rPr>
          <w:b/>
        </w:rPr>
        <w:t xml:space="preserve"> - Culture History</w:t>
      </w:r>
      <w:r w:rsidRPr="00873527">
        <w:rPr>
          <w:bCs/>
        </w:rPr>
        <w:t xml:space="preserve"> </w:t>
      </w:r>
    </w:p>
    <w:p w:rsidR="00A25315" w:rsidRPr="00873527" w:rsidRDefault="00A25315">
      <w:pPr>
        <w:rPr>
          <w:bCs/>
          <w:highlight w:val="yellow"/>
        </w:rPr>
      </w:pPr>
    </w:p>
    <w:p w:rsidR="00A25315" w:rsidRDefault="00A25315">
      <w:pPr>
        <w:rPr>
          <w:bCs/>
        </w:rPr>
      </w:pPr>
      <w:r w:rsidRPr="00873527">
        <w:rPr>
          <w:bCs/>
        </w:rPr>
        <w:t xml:space="preserve">Trigger, </w:t>
      </w:r>
      <w:r w:rsidR="00622D4C">
        <w:rPr>
          <w:bCs/>
        </w:rPr>
        <w:t>C</w:t>
      </w:r>
      <w:r w:rsidRPr="00873527">
        <w:rPr>
          <w:bCs/>
        </w:rPr>
        <w:t>hapters 5</w:t>
      </w:r>
      <w:r w:rsidR="00622D4C">
        <w:rPr>
          <w:bCs/>
        </w:rPr>
        <w:t xml:space="preserve"> &amp;</w:t>
      </w:r>
      <w:r w:rsidRPr="00873527">
        <w:rPr>
          <w:bCs/>
        </w:rPr>
        <w:t xml:space="preserve"> 6</w:t>
      </w:r>
    </w:p>
    <w:p w:rsidR="00622D4C" w:rsidRPr="00873527" w:rsidRDefault="00622D4C">
      <w:pPr>
        <w:rPr>
          <w:bCs/>
        </w:rPr>
      </w:pPr>
      <w:r>
        <w:rPr>
          <w:bCs/>
        </w:rPr>
        <w:t>Johnson, Chapter 2</w:t>
      </w:r>
    </w:p>
    <w:p w:rsidR="00A25315" w:rsidRPr="00873527" w:rsidRDefault="00A25315">
      <w:pPr>
        <w:rPr>
          <w:bCs/>
        </w:rPr>
      </w:pPr>
    </w:p>
    <w:p w:rsidR="00A25315" w:rsidRPr="00873527" w:rsidRDefault="00A25315">
      <w:pPr>
        <w:rPr>
          <w:b/>
          <w:bCs/>
        </w:rPr>
      </w:pPr>
      <w:r w:rsidRPr="00873527">
        <w:rPr>
          <w:bCs/>
        </w:rPr>
        <w:t xml:space="preserve">Steward, Julian (1942) </w:t>
      </w:r>
      <w:proofErr w:type="gramStart"/>
      <w:r w:rsidRPr="00873527">
        <w:rPr>
          <w:bCs/>
        </w:rPr>
        <w:t>The</w:t>
      </w:r>
      <w:proofErr w:type="gramEnd"/>
      <w:r w:rsidRPr="00873527">
        <w:rPr>
          <w:bCs/>
        </w:rPr>
        <w:t xml:space="preserve"> Direct Historical Approach to Archaeology. </w:t>
      </w:r>
      <w:r w:rsidRPr="00873527">
        <w:rPr>
          <w:bCs/>
          <w:i/>
          <w:iCs/>
        </w:rPr>
        <w:t>American Antiquity</w:t>
      </w:r>
      <w:r w:rsidRPr="00873527">
        <w:rPr>
          <w:bCs/>
        </w:rPr>
        <w:t xml:space="preserve"> 7(4):337-343.</w:t>
      </w:r>
      <w:r w:rsidR="00B140AB" w:rsidRPr="00873527">
        <w:rPr>
          <w:bCs/>
        </w:rPr>
        <w:t xml:space="preserve"> </w:t>
      </w:r>
      <w:r w:rsidR="00B140AB" w:rsidRPr="00873527">
        <w:rPr>
          <w:b/>
          <w:bCs/>
        </w:rPr>
        <w:t xml:space="preserve">Practice Annotation </w:t>
      </w:r>
    </w:p>
    <w:p w:rsidR="00A25315" w:rsidRPr="00873527" w:rsidRDefault="00A25315">
      <w:pPr>
        <w:rPr>
          <w:bCs/>
        </w:rPr>
      </w:pPr>
    </w:p>
    <w:p w:rsidR="00A25315" w:rsidRPr="00873527" w:rsidRDefault="00A25315">
      <w:pPr>
        <w:rPr>
          <w:bCs/>
        </w:rPr>
      </w:pPr>
      <w:r w:rsidRPr="00873527">
        <w:rPr>
          <w:bCs/>
        </w:rPr>
        <w:t xml:space="preserve">Rouse, Irving (1960) </w:t>
      </w:r>
      <w:proofErr w:type="gramStart"/>
      <w:r w:rsidRPr="00873527">
        <w:rPr>
          <w:bCs/>
        </w:rPr>
        <w:t>The</w:t>
      </w:r>
      <w:proofErr w:type="gramEnd"/>
      <w:r w:rsidRPr="00873527">
        <w:rPr>
          <w:bCs/>
        </w:rPr>
        <w:t xml:space="preserve"> Classification of Artifacts in Archaeology. </w:t>
      </w:r>
      <w:r w:rsidRPr="00873527">
        <w:rPr>
          <w:bCs/>
          <w:i/>
          <w:iCs/>
        </w:rPr>
        <w:t>American Antiquity</w:t>
      </w:r>
      <w:r w:rsidRPr="00873527">
        <w:rPr>
          <w:bCs/>
        </w:rPr>
        <w:t xml:space="preserve"> 25(3): 313-323.</w:t>
      </w:r>
    </w:p>
    <w:p w:rsidR="00A25315" w:rsidRPr="00873527" w:rsidRDefault="00A25315">
      <w:pPr>
        <w:pStyle w:val="BodyText"/>
        <w:rPr>
          <w:bCs w:val="0"/>
          <w:color w:val="auto"/>
        </w:rPr>
      </w:pPr>
    </w:p>
    <w:p w:rsidR="00A25315" w:rsidRPr="00873527" w:rsidRDefault="00A25315" w:rsidP="00A25315">
      <w:pPr>
        <w:pStyle w:val="Blockquote"/>
        <w:tabs>
          <w:tab w:val="clear" w:pos="360"/>
        </w:tabs>
        <w:ind w:left="0" w:right="0"/>
        <w:rPr>
          <w:bCs/>
        </w:rPr>
      </w:pPr>
      <w:r w:rsidRPr="00873527">
        <w:t>Childe, V. Gordon (1929) “</w:t>
      </w:r>
      <w:r w:rsidRPr="00873527">
        <w:rPr>
          <w:bCs/>
          <w:szCs w:val="24"/>
        </w:rPr>
        <w:t>Chapter</w:t>
      </w:r>
      <w:r w:rsidRPr="00873527">
        <w:t xml:space="preserve"> IV: Danubian I.” </w:t>
      </w:r>
      <w:proofErr w:type="gramStart"/>
      <w:r w:rsidRPr="00873527">
        <w:t xml:space="preserve">In </w:t>
      </w:r>
      <w:r w:rsidRPr="00873527">
        <w:rPr>
          <w:i/>
        </w:rPr>
        <w:t>The Danube in Prehistory</w:t>
      </w:r>
      <w:r w:rsidRPr="00873527">
        <w:t>, pp. 36-47</w:t>
      </w:r>
      <w:r w:rsidRPr="00873527">
        <w:rPr>
          <w:i/>
        </w:rPr>
        <w:t>.</w:t>
      </w:r>
      <w:proofErr w:type="gramEnd"/>
      <w:r w:rsidRPr="00873527">
        <w:rPr>
          <w:i/>
        </w:rPr>
        <w:t xml:space="preserve">  </w:t>
      </w:r>
      <w:r w:rsidRPr="00873527">
        <w:t>Oxford: Clarendon.</w:t>
      </w:r>
    </w:p>
    <w:p w:rsidR="00A25315" w:rsidRPr="00873527" w:rsidRDefault="006A3FB7">
      <w:pPr>
        <w:rPr>
          <w:b/>
        </w:rPr>
      </w:pPr>
      <w:r>
        <w:rPr>
          <w:b/>
        </w:rPr>
        <w:pict>
          <v:rect id="_x0000_i1026" style="width:0;height:1.5pt" o:hralign="center" o:hrstd="t" o:hr="t" fillcolor="#aaa" stroked="f"/>
        </w:pict>
      </w:r>
    </w:p>
    <w:p w:rsidR="00A25315" w:rsidRPr="00873527" w:rsidRDefault="00A25315">
      <w:pPr>
        <w:rPr>
          <w:bCs/>
        </w:rPr>
      </w:pPr>
      <w:r w:rsidRPr="00873527">
        <w:rPr>
          <w:b/>
        </w:rPr>
        <w:t>September 1</w:t>
      </w:r>
      <w:r w:rsidR="00B140AB" w:rsidRPr="00873527">
        <w:rPr>
          <w:b/>
        </w:rPr>
        <w:t>7</w:t>
      </w:r>
      <w:r w:rsidRPr="00873527">
        <w:rPr>
          <w:b/>
        </w:rPr>
        <w:t xml:space="preserve"> - New and Processual Archaeology</w:t>
      </w:r>
      <w:r w:rsidR="00F673F7" w:rsidRPr="00873527">
        <w:t xml:space="preserve"> </w:t>
      </w:r>
    </w:p>
    <w:p w:rsidR="00A25315" w:rsidRPr="00873527" w:rsidRDefault="00A25315">
      <w:pPr>
        <w:rPr>
          <w:highlight w:val="yellow"/>
        </w:rPr>
      </w:pPr>
    </w:p>
    <w:p w:rsidR="00A25315" w:rsidRDefault="00A25315">
      <w:r w:rsidRPr="00873527">
        <w:t>Trigger</w:t>
      </w:r>
      <w:r w:rsidR="00622D4C">
        <w:t>,</w:t>
      </w:r>
      <w:r w:rsidR="00B140AB" w:rsidRPr="00873527">
        <w:t xml:space="preserve"> Chapters 7 &amp; 8</w:t>
      </w:r>
    </w:p>
    <w:p w:rsidR="00622D4C" w:rsidRPr="00873527" w:rsidRDefault="00622D4C">
      <w:r>
        <w:t xml:space="preserve">Johnson, </w:t>
      </w:r>
      <w:r w:rsidR="00A81E2F">
        <w:t>Chapters 3, 4, 5, &amp; 6</w:t>
      </w:r>
    </w:p>
    <w:p w:rsidR="00B140AB" w:rsidRPr="00873527" w:rsidRDefault="00B140AB"/>
    <w:p w:rsidR="00A25315" w:rsidRPr="00873527" w:rsidRDefault="00A25315">
      <w:r w:rsidRPr="00873527">
        <w:t xml:space="preserve">Flannery, Kent (1968) Archaeological Systems Theory and Early Mesoamerica.  </w:t>
      </w:r>
      <w:proofErr w:type="gramStart"/>
      <w:r w:rsidRPr="00873527">
        <w:t xml:space="preserve">In </w:t>
      </w:r>
      <w:r w:rsidRPr="00873527">
        <w:rPr>
          <w:i/>
        </w:rPr>
        <w:t>Anthropological Archaeology in the Americas</w:t>
      </w:r>
      <w:r w:rsidRPr="00873527">
        <w:t>, B.J. Meggers (ed.), pp. 67-87.</w:t>
      </w:r>
      <w:proofErr w:type="gramEnd"/>
      <w:r w:rsidRPr="00873527">
        <w:t xml:space="preserve">  Washington, D.C.: Anthropological Society of Washington.</w:t>
      </w:r>
    </w:p>
    <w:p w:rsidR="00A25315" w:rsidRPr="00873527" w:rsidRDefault="00A25315"/>
    <w:p w:rsidR="00A25315" w:rsidRPr="00873527" w:rsidRDefault="00A25315">
      <w:r w:rsidRPr="00873527">
        <w:t xml:space="preserve">Steponaitis, Vincas (1978) Location Theory and Complex Chiefdoms: A Mississippian example.  </w:t>
      </w:r>
      <w:proofErr w:type="gramStart"/>
      <w:r w:rsidRPr="00873527">
        <w:t xml:space="preserve">In </w:t>
      </w:r>
      <w:r w:rsidRPr="00873527">
        <w:rPr>
          <w:i/>
        </w:rPr>
        <w:t>Mississippian Settlement Patterns</w:t>
      </w:r>
      <w:r w:rsidRPr="00873527">
        <w:t xml:space="preserve">, </w:t>
      </w:r>
      <w:r w:rsidR="00D43F08" w:rsidRPr="00873527">
        <w:t>edited by Bruce Smith</w:t>
      </w:r>
      <w:r w:rsidRPr="00873527">
        <w:t>, pp. 417-453.</w:t>
      </w:r>
      <w:proofErr w:type="gramEnd"/>
      <w:r w:rsidRPr="00873527">
        <w:t xml:space="preserve">  New York: Academic.</w:t>
      </w:r>
    </w:p>
    <w:p w:rsidR="00A25315" w:rsidRPr="00873527" w:rsidRDefault="00A25315"/>
    <w:p w:rsidR="00A25315" w:rsidRPr="00873527" w:rsidRDefault="00A25315" w:rsidP="00A25315">
      <w:pPr>
        <w:suppressAutoHyphens/>
        <w:ind w:left="720" w:hanging="720"/>
      </w:pPr>
      <w:r w:rsidRPr="00873527">
        <w:t xml:space="preserve">Binford, Lewis R. (1962) Archaeology as Anthropology.  </w:t>
      </w:r>
      <w:r w:rsidRPr="00873527">
        <w:rPr>
          <w:i/>
        </w:rPr>
        <w:t>American Antiquity</w:t>
      </w:r>
      <w:r w:rsidRPr="00873527">
        <w:t xml:space="preserve"> 28(2):217-225.</w:t>
      </w:r>
    </w:p>
    <w:p w:rsidR="00F673F7" w:rsidRPr="00873527" w:rsidRDefault="00F673F7" w:rsidP="00A25315">
      <w:pPr>
        <w:suppressAutoHyphens/>
        <w:ind w:left="720" w:hanging="720"/>
      </w:pPr>
    </w:p>
    <w:p w:rsidR="00F673F7" w:rsidRDefault="00F673F7" w:rsidP="00F673F7">
      <w:proofErr w:type="gramStart"/>
      <w:r w:rsidRPr="00873527">
        <w:t>Yesner (2004) Optimal Foraging Theory and Tec</w:t>
      </w:r>
      <w:r w:rsidR="00860BFF" w:rsidRPr="00873527">
        <w:t>h</w:t>
      </w:r>
      <w:r w:rsidRPr="00873527">
        <w:t>noeconomic Evolution among Northern Maritime Hunter-Gatherers.</w:t>
      </w:r>
      <w:proofErr w:type="gramEnd"/>
      <w:r w:rsidRPr="00873527">
        <w:t xml:space="preserve"> </w:t>
      </w:r>
      <w:proofErr w:type="gramStart"/>
      <w:r w:rsidRPr="00873527">
        <w:t xml:space="preserve">In </w:t>
      </w:r>
      <w:r w:rsidRPr="00873527">
        <w:rPr>
          <w:i/>
        </w:rPr>
        <w:t>Hunters and Gatherers in Theory and Archaeology</w:t>
      </w:r>
      <w:r w:rsidRPr="00873527">
        <w:t xml:space="preserve">, </w:t>
      </w:r>
      <w:r w:rsidR="00FC4EC0" w:rsidRPr="00873527">
        <w:t>edited by George M. Crothers</w:t>
      </w:r>
      <w:r w:rsidRPr="00873527">
        <w:t>, pp. 258-275.</w:t>
      </w:r>
      <w:proofErr w:type="gramEnd"/>
      <w:r w:rsidRPr="00873527">
        <w:t xml:space="preserve"> Carbondale: Southern Illinois University Press.</w:t>
      </w:r>
    </w:p>
    <w:p w:rsidR="00EA4E7D" w:rsidRPr="00873527" w:rsidRDefault="00EA4E7D" w:rsidP="00F673F7"/>
    <w:p w:rsidR="00214706" w:rsidRDefault="00214706">
      <w:pPr>
        <w:rPr>
          <w:b/>
        </w:rPr>
      </w:pPr>
      <w:r>
        <w:rPr>
          <w:b/>
        </w:rPr>
        <w:br w:type="page"/>
      </w:r>
    </w:p>
    <w:p w:rsidR="00A25315" w:rsidRPr="00873527" w:rsidRDefault="006A3FB7">
      <w:r>
        <w:rPr>
          <w:b/>
        </w:rPr>
        <w:lastRenderedPageBreak/>
        <w:pict>
          <v:rect id="_x0000_i1027" style="width:0;height:1.5pt" o:hralign="center" o:hrstd="t" o:hr="t" fillcolor="#aaa" stroked="f"/>
        </w:pict>
      </w:r>
    </w:p>
    <w:p w:rsidR="00A25315" w:rsidRPr="00873527" w:rsidRDefault="00A25315"/>
    <w:p w:rsidR="004D292D" w:rsidRPr="00873527" w:rsidRDefault="00D975B5" w:rsidP="004D292D">
      <w:pPr>
        <w:rPr>
          <w:bCs/>
        </w:rPr>
      </w:pPr>
      <w:r w:rsidRPr="00873527">
        <w:rPr>
          <w:b/>
        </w:rPr>
        <w:t xml:space="preserve">September 24 </w:t>
      </w:r>
      <w:r w:rsidR="00A25315" w:rsidRPr="00873527">
        <w:rPr>
          <w:b/>
        </w:rPr>
        <w:t xml:space="preserve">– </w:t>
      </w:r>
      <w:r w:rsidR="004D292D" w:rsidRPr="00873527">
        <w:rPr>
          <w:b/>
        </w:rPr>
        <w:t xml:space="preserve">The “Post-Processual Turn” </w:t>
      </w:r>
    </w:p>
    <w:p w:rsidR="004D292D" w:rsidRPr="00873527" w:rsidRDefault="004D292D" w:rsidP="004D292D">
      <w:pPr>
        <w:rPr>
          <w:bCs/>
          <w:highlight w:val="yellow"/>
        </w:rPr>
      </w:pPr>
    </w:p>
    <w:p w:rsidR="004D292D" w:rsidRPr="00EA4E7D" w:rsidRDefault="00B140AB" w:rsidP="004D292D">
      <w:pPr>
        <w:rPr>
          <w:bCs/>
        </w:rPr>
      </w:pPr>
      <w:r w:rsidRPr="00873527">
        <w:rPr>
          <w:bCs/>
        </w:rPr>
        <w:t>Trigger, Chapters 8 &amp; 9</w:t>
      </w:r>
    </w:p>
    <w:p w:rsidR="004D292D" w:rsidRPr="00873527" w:rsidRDefault="00425735" w:rsidP="004D292D">
      <w:r w:rsidRPr="00873527">
        <w:t xml:space="preserve">Johnson, </w:t>
      </w:r>
      <w:r w:rsidR="00A81E2F" w:rsidRPr="00873527">
        <w:t>Chapter 7</w:t>
      </w:r>
    </w:p>
    <w:p w:rsidR="00425735" w:rsidRPr="00873527" w:rsidRDefault="00425735" w:rsidP="004D292D"/>
    <w:p w:rsidR="00D00BF0" w:rsidRPr="00D00BF0" w:rsidRDefault="00D00BF0" w:rsidP="00D00BF0">
      <w:r w:rsidRPr="00D00BF0">
        <w:t>Hodder, Ian (1985</w:t>
      </w:r>
      <w:proofErr w:type="gramStart"/>
      <w:r w:rsidRPr="00D00BF0">
        <w:t xml:space="preserve">)  </w:t>
      </w:r>
      <w:proofErr w:type="spellStart"/>
      <w:r w:rsidRPr="00D00BF0">
        <w:t>Postprocessual</w:t>
      </w:r>
      <w:proofErr w:type="spellEnd"/>
      <w:proofErr w:type="gramEnd"/>
      <w:r w:rsidRPr="00D00BF0">
        <w:t xml:space="preserve"> archaeology.  </w:t>
      </w:r>
      <w:r w:rsidRPr="00D00BF0">
        <w:rPr>
          <w:i/>
        </w:rPr>
        <w:t>Advances in Archaeological Method and Theory</w:t>
      </w:r>
      <w:r w:rsidRPr="00D00BF0">
        <w:t xml:space="preserve"> 8:1-26.</w:t>
      </w:r>
    </w:p>
    <w:p w:rsidR="00D00BF0" w:rsidRDefault="00D00BF0" w:rsidP="004D292D"/>
    <w:p w:rsidR="004D292D" w:rsidRPr="00873527" w:rsidRDefault="004D292D" w:rsidP="004D292D">
      <w:r w:rsidRPr="00873527">
        <w:t xml:space="preserve">Kohl, Philip (1993) Limits to a Post-Processual Archaeology (Or, the Dangers of a New Scholasticism).  In </w:t>
      </w:r>
      <w:r w:rsidRPr="00873527">
        <w:rPr>
          <w:i/>
        </w:rPr>
        <w:t>Archaeological Theory: Who Sets the Agenda</w:t>
      </w:r>
      <w:proofErr w:type="gramStart"/>
      <w:r w:rsidRPr="00873527">
        <w:rPr>
          <w:i/>
        </w:rPr>
        <w:t>?</w:t>
      </w:r>
      <w:r w:rsidRPr="00873527">
        <w:t>,</w:t>
      </w:r>
      <w:proofErr w:type="gramEnd"/>
      <w:r w:rsidRPr="00873527">
        <w:t xml:space="preserve"> edited by Norman Yoffee and Andrew Sherratt, pp. 13-19.  Cambridge: Cambridge University Press.</w:t>
      </w:r>
    </w:p>
    <w:p w:rsidR="004D292D" w:rsidRPr="00873527" w:rsidRDefault="004D292D" w:rsidP="004D292D"/>
    <w:p w:rsidR="004D292D" w:rsidRPr="00873527" w:rsidRDefault="004D292D" w:rsidP="004D292D">
      <w:r w:rsidRPr="00873527">
        <w:t xml:space="preserve">Hodder, Ian and Lynn Meskell (2001) </w:t>
      </w:r>
      <w:proofErr w:type="gramStart"/>
      <w:r w:rsidRPr="00873527">
        <w:t>A</w:t>
      </w:r>
      <w:proofErr w:type="gramEnd"/>
      <w:r w:rsidRPr="00873527">
        <w:t xml:space="preserve"> Curious and Sometimes a Trifle Macabre Artistry:  Some Aspects of Symbolism in Neolithic Turkey.  </w:t>
      </w:r>
      <w:r w:rsidRPr="00873527">
        <w:rPr>
          <w:i/>
        </w:rPr>
        <w:t>Current Anthropology</w:t>
      </w:r>
      <w:r w:rsidRPr="00873527">
        <w:t xml:space="preserve"> 52(2):235-263.</w:t>
      </w:r>
    </w:p>
    <w:p w:rsidR="004D292D" w:rsidRPr="00873527" w:rsidRDefault="004D292D" w:rsidP="004D292D"/>
    <w:p w:rsidR="004D292D" w:rsidRPr="00873527" w:rsidRDefault="004D292D" w:rsidP="004D292D">
      <w:proofErr w:type="gramStart"/>
      <w:r w:rsidRPr="00873527">
        <w:t>Shanks, Michael (2004) Three Rooms.</w:t>
      </w:r>
      <w:proofErr w:type="gramEnd"/>
      <w:r w:rsidRPr="00873527">
        <w:t xml:space="preserve"> </w:t>
      </w:r>
      <w:r w:rsidRPr="00873527">
        <w:rPr>
          <w:i/>
          <w:iCs/>
        </w:rPr>
        <w:t>Journal of Social Archaeology</w:t>
      </w:r>
      <w:r w:rsidRPr="00873527">
        <w:t xml:space="preserve"> 4(2):147-181.</w:t>
      </w:r>
    </w:p>
    <w:p w:rsidR="004D292D" w:rsidRPr="00873527" w:rsidRDefault="004D292D" w:rsidP="004D292D"/>
    <w:p w:rsidR="004D292D" w:rsidRPr="00873527" w:rsidRDefault="004D292D" w:rsidP="004D292D">
      <w:r w:rsidRPr="00873527">
        <w:t xml:space="preserve">Hill, James N. (1991) Archaeology and the Accumulation of Knowledge.  In </w:t>
      </w:r>
      <w:r w:rsidRPr="00873527">
        <w:rPr>
          <w:i/>
        </w:rPr>
        <w:t>Processual and Postprocessual Archaeologies:  Multiple Ways of Knowing the Past</w:t>
      </w:r>
      <w:r w:rsidRPr="00873527">
        <w:t>, edited by Robert W. Preucel, pp. 42-53.  Carbondale: Southern Illinois University Press.</w:t>
      </w:r>
    </w:p>
    <w:p w:rsidR="004D292D" w:rsidRPr="00873527" w:rsidRDefault="004D292D" w:rsidP="004D292D"/>
    <w:p w:rsidR="004D292D" w:rsidRPr="00873527" w:rsidRDefault="004D292D" w:rsidP="004D292D">
      <w:r w:rsidRPr="00873527">
        <w:t xml:space="preserve">Çatalhöyük Research Project website: </w:t>
      </w:r>
      <w:hyperlink r:id="rId8" w:history="1">
        <w:r w:rsidRPr="00873527">
          <w:rPr>
            <w:rStyle w:val="Hyperlink"/>
            <w:color w:val="auto"/>
          </w:rPr>
          <w:t>http://www.catalhoyuk.com</w:t>
        </w:r>
      </w:hyperlink>
    </w:p>
    <w:p w:rsidR="004D292D" w:rsidRPr="00873527" w:rsidRDefault="004D292D" w:rsidP="004D292D"/>
    <w:p w:rsidR="004D292D" w:rsidRPr="00873527" w:rsidRDefault="004D292D" w:rsidP="004D292D">
      <w:pPr>
        <w:rPr>
          <w:rStyle w:val="Hyperlink"/>
          <w:color w:val="auto"/>
        </w:rPr>
      </w:pPr>
      <w:r w:rsidRPr="00873527">
        <w:t xml:space="preserve">Remixing Çatalhöyük: </w:t>
      </w:r>
      <w:hyperlink r:id="rId9" w:history="1">
        <w:r w:rsidRPr="00873527">
          <w:rPr>
            <w:rStyle w:val="Hyperlink"/>
            <w:color w:val="auto"/>
          </w:rPr>
          <w:t>http://okapi.berkeley.edu/remixing/mainpage.html</w:t>
        </w:r>
      </w:hyperlink>
    </w:p>
    <w:p w:rsidR="00D975B5" w:rsidRPr="00873527" w:rsidRDefault="00D975B5" w:rsidP="004D292D">
      <w:pPr>
        <w:rPr>
          <w:rStyle w:val="Hyperlink"/>
          <w:color w:val="auto"/>
        </w:rPr>
      </w:pPr>
    </w:p>
    <w:p w:rsidR="00D975B5" w:rsidRPr="00873527" w:rsidRDefault="006A3FB7" w:rsidP="00D975B5">
      <w:r>
        <w:rPr>
          <w:b/>
        </w:rPr>
        <w:pict>
          <v:rect id="_x0000_i1028" style="width:0;height:1.5pt" o:hralign="center" o:hrstd="t" o:hr="t" fillcolor="#aaa" stroked="f"/>
        </w:pict>
      </w:r>
      <w:r w:rsidR="00D975B5" w:rsidRPr="00873527">
        <w:rPr>
          <w:b/>
          <w:bCs/>
        </w:rPr>
        <w:t xml:space="preserve"> October 1 – Agency &amp; Practice (Siobhan Hart)</w:t>
      </w:r>
      <w:r w:rsidR="00D975B5" w:rsidRPr="00873527" w:rsidDel="00374DBC">
        <w:rPr>
          <w:b/>
          <w:bCs/>
        </w:rPr>
        <w:t xml:space="preserve"> </w:t>
      </w:r>
    </w:p>
    <w:p w:rsidR="00D975B5" w:rsidRPr="00873527" w:rsidRDefault="00D975B5" w:rsidP="00D975B5">
      <w:pPr>
        <w:rPr>
          <w:sz w:val="22"/>
        </w:rPr>
      </w:pPr>
    </w:p>
    <w:p w:rsidR="00D975B5" w:rsidRPr="00873527" w:rsidRDefault="00D975B5" w:rsidP="00D975B5">
      <w:pPr>
        <w:pStyle w:val="MediumList2-Accent41"/>
        <w:widowControl/>
        <w:autoSpaceDE/>
        <w:autoSpaceDN/>
        <w:adjustRightInd/>
        <w:ind w:left="0"/>
        <w:rPr>
          <w:rFonts w:ascii="Times New Roman" w:hAnsi="Times New Roman"/>
          <w:sz w:val="24"/>
        </w:rPr>
      </w:pPr>
      <w:proofErr w:type="gramStart"/>
      <w:r w:rsidRPr="00873527">
        <w:rPr>
          <w:rFonts w:ascii="Times New Roman" w:hAnsi="Times New Roman"/>
          <w:sz w:val="24"/>
        </w:rPr>
        <w:t xml:space="preserve">Webb, Jen, Tony </w:t>
      </w:r>
      <w:proofErr w:type="spellStart"/>
      <w:r w:rsidRPr="00873527">
        <w:rPr>
          <w:rFonts w:ascii="Times New Roman" w:hAnsi="Times New Roman"/>
          <w:sz w:val="24"/>
        </w:rPr>
        <w:t>Schirato</w:t>
      </w:r>
      <w:proofErr w:type="spellEnd"/>
      <w:r w:rsidRPr="00873527">
        <w:rPr>
          <w:rFonts w:ascii="Times New Roman" w:hAnsi="Times New Roman"/>
          <w:sz w:val="24"/>
        </w:rPr>
        <w:t xml:space="preserve"> and Geoff </w:t>
      </w:r>
      <w:proofErr w:type="spellStart"/>
      <w:r w:rsidRPr="00873527">
        <w:rPr>
          <w:rFonts w:ascii="Times New Roman" w:hAnsi="Times New Roman"/>
          <w:sz w:val="24"/>
        </w:rPr>
        <w:t>Danager</w:t>
      </w:r>
      <w:proofErr w:type="spellEnd"/>
      <w:r w:rsidRPr="00873527">
        <w:rPr>
          <w:rFonts w:ascii="Times New Roman" w:hAnsi="Times New Roman"/>
          <w:sz w:val="24"/>
        </w:rPr>
        <w:t xml:space="preserve"> (2002) Cultural Field and the Habitus.</w:t>
      </w:r>
      <w:proofErr w:type="gramEnd"/>
      <w:r w:rsidRPr="00873527">
        <w:rPr>
          <w:rFonts w:ascii="Times New Roman" w:hAnsi="Times New Roman"/>
          <w:sz w:val="24"/>
        </w:rPr>
        <w:t xml:space="preserve"> </w:t>
      </w:r>
      <w:proofErr w:type="gramStart"/>
      <w:r w:rsidRPr="00873527">
        <w:rPr>
          <w:rFonts w:ascii="Times New Roman" w:hAnsi="Times New Roman"/>
          <w:sz w:val="24"/>
        </w:rPr>
        <w:t xml:space="preserve">In </w:t>
      </w:r>
      <w:r w:rsidRPr="00873527">
        <w:rPr>
          <w:rFonts w:ascii="Times New Roman" w:hAnsi="Times New Roman"/>
          <w:i/>
          <w:sz w:val="24"/>
        </w:rPr>
        <w:t>Understanding Bourdieu</w:t>
      </w:r>
      <w:r w:rsidRPr="00873527">
        <w:rPr>
          <w:rFonts w:ascii="Times New Roman" w:hAnsi="Times New Roman"/>
          <w:sz w:val="24"/>
        </w:rPr>
        <w:t>, pp. 21-44.</w:t>
      </w:r>
      <w:proofErr w:type="gramEnd"/>
      <w:r w:rsidRPr="00873527">
        <w:rPr>
          <w:rFonts w:ascii="Times New Roman" w:hAnsi="Times New Roman"/>
          <w:sz w:val="24"/>
        </w:rPr>
        <w:t xml:space="preserve"> London: Sage.</w:t>
      </w:r>
    </w:p>
    <w:p w:rsidR="00D975B5" w:rsidRPr="00873527" w:rsidRDefault="00D975B5" w:rsidP="00D975B5">
      <w:pPr>
        <w:pStyle w:val="Blockquote"/>
        <w:tabs>
          <w:tab w:val="clear" w:pos="360"/>
        </w:tabs>
        <w:ind w:left="0" w:right="0"/>
      </w:pPr>
    </w:p>
    <w:p w:rsidR="00D975B5" w:rsidRPr="00873527" w:rsidRDefault="00D975B5" w:rsidP="00D975B5">
      <w:pPr>
        <w:pStyle w:val="Blockquote"/>
        <w:tabs>
          <w:tab w:val="clear" w:pos="360"/>
        </w:tabs>
        <w:ind w:left="0" w:right="0"/>
      </w:pPr>
      <w:r w:rsidRPr="00873527">
        <w:t xml:space="preserve">Dornan, Jennifer L. (2002) Agency and Archaeology: Past, Present and Future Directions. </w:t>
      </w:r>
      <w:r w:rsidRPr="00873527">
        <w:rPr>
          <w:i/>
        </w:rPr>
        <w:t xml:space="preserve">Journal of Archaeological Method and Theory </w:t>
      </w:r>
      <w:r w:rsidRPr="00873527">
        <w:t xml:space="preserve">9:303-329. </w:t>
      </w:r>
    </w:p>
    <w:p w:rsidR="00D975B5" w:rsidRPr="00873527" w:rsidRDefault="00D975B5" w:rsidP="00D975B5">
      <w:pPr>
        <w:pStyle w:val="Blockquote"/>
        <w:tabs>
          <w:tab w:val="clear" w:pos="360"/>
        </w:tabs>
        <w:ind w:left="0" w:right="0"/>
      </w:pPr>
    </w:p>
    <w:p w:rsidR="00D975B5" w:rsidRPr="00873527" w:rsidRDefault="00D975B5" w:rsidP="00D975B5">
      <w:pPr>
        <w:pStyle w:val="Blockquote"/>
        <w:tabs>
          <w:tab w:val="clear" w:pos="360"/>
        </w:tabs>
        <w:ind w:left="0" w:right="0"/>
      </w:pPr>
      <w:proofErr w:type="spellStart"/>
      <w:r w:rsidRPr="00873527">
        <w:t>Pauketat</w:t>
      </w:r>
      <w:proofErr w:type="spellEnd"/>
      <w:r w:rsidRPr="00873527">
        <w:t xml:space="preserve">, Timothy (2000) </w:t>
      </w:r>
      <w:proofErr w:type="gramStart"/>
      <w:r w:rsidRPr="00873527">
        <w:t>The</w:t>
      </w:r>
      <w:proofErr w:type="gramEnd"/>
      <w:r w:rsidRPr="00873527">
        <w:t xml:space="preserve"> Tragedy of the Commoners.  </w:t>
      </w:r>
      <w:proofErr w:type="gramStart"/>
      <w:r w:rsidRPr="00873527">
        <w:t xml:space="preserve">In </w:t>
      </w:r>
      <w:r w:rsidRPr="00873527">
        <w:rPr>
          <w:i/>
        </w:rPr>
        <w:t>Agency in Archaeology</w:t>
      </w:r>
      <w:r w:rsidRPr="00873527">
        <w:t xml:space="preserve">, edited by Marcia-Anne </w:t>
      </w:r>
      <w:proofErr w:type="spellStart"/>
      <w:r w:rsidRPr="00873527">
        <w:t>Dobres</w:t>
      </w:r>
      <w:proofErr w:type="spellEnd"/>
      <w:r w:rsidRPr="00873527">
        <w:t xml:space="preserve"> and John E. Robb, pp. 113-129.</w:t>
      </w:r>
      <w:proofErr w:type="gramEnd"/>
      <w:r w:rsidRPr="00873527">
        <w:t xml:space="preserve">  London: Routledge.</w:t>
      </w:r>
    </w:p>
    <w:p w:rsidR="00D975B5" w:rsidRPr="00873527" w:rsidRDefault="00D975B5" w:rsidP="00D975B5">
      <w:pPr>
        <w:pStyle w:val="Blockquote"/>
        <w:tabs>
          <w:tab w:val="clear" w:pos="360"/>
        </w:tabs>
        <w:ind w:left="0" w:right="0"/>
      </w:pPr>
    </w:p>
    <w:p w:rsidR="00D975B5" w:rsidRPr="00873527" w:rsidRDefault="00D975B5" w:rsidP="00D975B5">
      <w:pPr>
        <w:pStyle w:val="Blockquote"/>
        <w:tabs>
          <w:tab w:val="clear" w:pos="360"/>
        </w:tabs>
        <w:ind w:left="0" w:right="0"/>
      </w:pPr>
      <w:r w:rsidRPr="00873527">
        <w:t xml:space="preserve">Silliman, Stephen (2001) Agency, Practical Politics, and the Archaeology of Culture Contact.  </w:t>
      </w:r>
      <w:r w:rsidRPr="00873527">
        <w:rPr>
          <w:i/>
        </w:rPr>
        <w:t xml:space="preserve">Journal of Social Archaeology </w:t>
      </w:r>
      <w:r w:rsidRPr="00873527">
        <w:t xml:space="preserve">1(2):190-209. </w:t>
      </w:r>
    </w:p>
    <w:p w:rsidR="00D975B5" w:rsidRPr="00873527" w:rsidRDefault="00D975B5" w:rsidP="00D975B5">
      <w:pPr>
        <w:pStyle w:val="Blockquote"/>
        <w:tabs>
          <w:tab w:val="clear" w:pos="360"/>
        </w:tabs>
        <w:ind w:left="0" w:right="0"/>
      </w:pPr>
    </w:p>
    <w:p w:rsidR="00D975B5" w:rsidRPr="00873527" w:rsidRDefault="00D975B5" w:rsidP="00D975B5">
      <w:pPr>
        <w:pStyle w:val="Blockquote"/>
        <w:tabs>
          <w:tab w:val="clear" w:pos="360"/>
        </w:tabs>
        <w:ind w:left="0" w:right="0"/>
      </w:pPr>
      <w:proofErr w:type="spellStart"/>
      <w:r w:rsidRPr="00873527">
        <w:t>Gell</w:t>
      </w:r>
      <w:proofErr w:type="spellEnd"/>
      <w:r w:rsidRPr="00873527">
        <w:t xml:space="preserve">, Alfred (1992) </w:t>
      </w:r>
      <w:proofErr w:type="gramStart"/>
      <w:r w:rsidRPr="00873527">
        <w:t>The</w:t>
      </w:r>
      <w:proofErr w:type="gramEnd"/>
      <w:r w:rsidRPr="00873527">
        <w:t xml:space="preserve"> Technology of Enchantment and the Enchantment of Technology.  </w:t>
      </w:r>
      <w:proofErr w:type="gramStart"/>
      <w:r w:rsidRPr="00873527">
        <w:t xml:space="preserve">In </w:t>
      </w:r>
      <w:r w:rsidRPr="00873527">
        <w:rPr>
          <w:i/>
        </w:rPr>
        <w:t>Anthropology, Art, and Aesthetics</w:t>
      </w:r>
      <w:r w:rsidRPr="00873527">
        <w:t xml:space="preserve">, edited by J. </w:t>
      </w:r>
      <w:proofErr w:type="spellStart"/>
      <w:r w:rsidRPr="00873527">
        <w:t>Coote</w:t>
      </w:r>
      <w:proofErr w:type="spellEnd"/>
      <w:r w:rsidRPr="00873527">
        <w:t xml:space="preserve"> and A. Shelton, pp. 40-67.</w:t>
      </w:r>
      <w:proofErr w:type="gramEnd"/>
      <w:r w:rsidRPr="00873527">
        <w:t xml:space="preserve">  Oxford: Clarendon Press. </w:t>
      </w:r>
    </w:p>
    <w:p w:rsidR="00214706" w:rsidRDefault="00214706">
      <w:pPr>
        <w:rPr>
          <w:b/>
        </w:rPr>
      </w:pPr>
      <w:r>
        <w:rPr>
          <w:b/>
        </w:rPr>
        <w:br w:type="page"/>
      </w:r>
    </w:p>
    <w:p w:rsidR="00A25315" w:rsidRPr="00873527" w:rsidRDefault="006A3FB7" w:rsidP="00A25315">
      <w:pPr>
        <w:rPr>
          <w:b/>
        </w:rPr>
      </w:pPr>
      <w:r>
        <w:rPr>
          <w:b/>
        </w:rPr>
        <w:lastRenderedPageBreak/>
        <w:pict>
          <v:rect id="_x0000_i1029" style="width:0;height:1.5pt" o:hralign="center" o:hrstd="t" o:hr="t" fillcolor="#aaa" stroked="f"/>
        </w:pict>
      </w:r>
    </w:p>
    <w:p w:rsidR="00D975B5" w:rsidRPr="00873527" w:rsidRDefault="00D975B5" w:rsidP="00D975B5">
      <w:pPr>
        <w:rPr>
          <w:b/>
        </w:rPr>
      </w:pPr>
    </w:p>
    <w:p w:rsidR="00D975B5" w:rsidRPr="00873527" w:rsidRDefault="00D975B5" w:rsidP="00D975B5">
      <w:pPr>
        <w:rPr>
          <w:rFonts w:ascii="Times" w:hAnsi="Times"/>
        </w:rPr>
      </w:pPr>
      <w:r w:rsidRPr="00873527">
        <w:rPr>
          <w:b/>
        </w:rPr>
        <w:t xml:space="preserve">October 8 – </w:t>
      </w:r>
      <w:r w:rsidRPr="00873527">
        <w:rPr>
          <w:rFonts w:ascii="Times" w:hAnsi="Times"/>
          <w:b/>
          <w:bCs/>
        </w:rPr>
        <w:t xml:space="preserve">Marxism, Time &amp; History </w:t>
      </w:r>
    </w:p>
    <w:p w:rsidR="00D975B5" w:rsidRPr="00873527" w:rsidRDefault="00D975B5" w:rsidP="00D975B5">
      <w:pPr>
        <w:rPr>
          <w:b/>
          <w:bCs/>
        </w:rPr>
      </w:pPr>
    </w:p>
    <w:p w:rsidR="00D06137" w:rsidRPr="00D06137" w:rsidRDefault="00D06137" w:rsidP="00D06137">
      <w:pPr>
        <w:rPr>
          <w:rFonts w:ascii="Times" w:hAnsi="Times"/>
          <w:bCs/>
        </w:rPr>
      </w:pPr>
      <w:r w:rsidRPr="00873527">
        <w:rPr>
          <w:rFonts w:ascii="Times" w:hAnsi="Times"/>
          <w:b/>
          <w:bCs/>
        </w:rPr>
        <w:t>NOTE:</w:t>
      </w:r>
      <w:r w:rsidRPr="00873527">
        <w:rPr>
          <w:rFonts w:ascii="Times" w:hAnsi="Times"/>
          <w:bCs/>
        </w:rPr>
        <w:t xml:space="preserve">  Come prepared to discuss your ideas for your research design.</w:t>
      </w:r>
    </w:p>
    <w:p w:rsidR="00D06137" w:rsidRDefault="00D06137" w:rsidP="00D975B5">
      <w:pPr>
        <w:pStyle w:val="Blockquote"/>
        <w:tabs>
          <w:tab w:val="clear" w:pos="360"/>
        </w:tabs>
        <w:ind w:left="0" w:right="0"/>
        <w:rPr>
          <w:rFonts w:ascii="Times" w:hAnsi="Times"/>
        </w:rPr>
      </w:pPr>
    </w:p>
    <w:p w:rsidR="00D975B5" w:rsidRPr="00873527" w:rsidRDefault="00D975B5" w:rsidP="00D975B5">
      <w:pPr>
        <w:pStyle w:val="Blockquote"/>
        <w:tabs>
          <w:tab w:val="clear" w:pos="360"/>
        </w:tabs>
        <w:ind w:left="0" w:right="0"/>
        <w:rPr>
          <w:rFonts w:ascii="Times" w:hAnsi="Times"/>
        </w:rPr>
      </w:pPr>
      <w:r w:rsidRPr="00873527">
        <w:rPr>
          <w:rFonts w:ascii="Times" w:hAnsi="Times"/>
        </w:rPr>
        <w:t>Trigger</w:t>
      </w:r>
      <w:proofErr w:type="gramStart"/>
      <w:r w:rsidRPr="00873527">
        <w:rPr>
          <w:rFonts w:ascii="Times" w:hAnsi="Times"/>
        </w:rPr>
        <w:t>,  pp</w:t>
      </w:r>
      <w:proofErr w:type="gramEnd"/>
      <w:r w:rsidRPr="00873527">
        <w:rPr>
          <w:rFonts w:ascii="Times" w:hAnsi="Times"/>
        </w:rPr>
        <w:t>. 322-353; 486-496</w:t>
      </w:r>
    </w:p>
    <w:p w:rsidR="00D975B5" w:rsidRPr="00873527" w:rsidRDefault="00D975B5" w:rsidP="00D975B5">
      <w:pPr>
        <w:pStyle w:val="Blockquote"/>
        <w:tabs>
          <w:tab w:val="clear" w:pos="360"/>
        </w:tabs>
        <w:ind w:left="0" w:right="0"/>
        <w:rPr>
          <w:rFonts w:ascii="Times" w:hAnsi="Times"/>
        </w:rPr>
      </w:pPr>
      <w:r w:rsidRPr="00873527">
        <w:rPr>
          <w:rFonts w:ascii="Times" w:hAnsi="Times"/>
        </w:rPr>
        <w:t xml:space="preserve">Johnson, </w:t>
      </w:r>
      <w:proofErr w:type="gramStart"/>
      <w:r w:rsidRPr="00873527">
        <w:rPr>
          <w:rFonts w:ascii="Times" w:hAnsi="Times"/>
        </w:rPr>
        <w:t>Chapter</w:t>
      </w:r>
      <w:r w:rsidR="00D863C5">
        <w:rPr>
          <w:rFonts w:ascii="Times" w:hAnsi="Times"/>
        </w:rPr>
        <w:t>s  9</w:t>
      </w:r>
      <w:proofErr w:type="gramEnd"/>
      <w:r w:rsidR="00D863C5">
        <w:rPr>
          <w:rFonts w:ascii="Times" w:hAnsi="Times"/>
        </w:rPr>
        <w:t>, 10, &amp; 11</w:t>
      </w:r>
    </w:p>
    <w:p w:rsidR="00D975B5" w:rsidRPr="00873527" w:rsidRDefault="00D975B5" w:rsidP="00D975B5">
      <w:pPr>
        <w:pStyle w:val="Blockquote"/>
        <w:tabs>
          <w:tab w:val="clear" w:pos="360"/>
        </w:tabs>
        <w:ind w:left="0" w:right="0"/>
        <w:rPr>
          <w:rFonts w:ascii="Times" w:hAnsi="Times"/>
        </w:rPr>
      </w:pPr>
    </w:p>
    <w:p w:rsidR="00D975B5" w:rsidRPr="00873527" w:rsidRDefault="00D975B5" w:rsidP="00D975B5">
      <w:pPr>
        <w:rPr>
          <w:rFonts w:ascii="Times" w:hAnsi="Times"/>
        </w:rPr>
      </w:pPr>
      <w:r w:rsidRPr="00873527">
        <w:rPr>
          <w:rFonts w:ascii="Times" w:hAnsi="Times"/>
        </w:rPr>
        <w:t>Van Dyke, Ruth M. (2008)</w:t>
      </w:r>
      <w:r w:rsidRPr="00873527">
        <w:rPr>
          <w:rFonts w:ascii="Times" w:hAnsi="Times"/>
          <w:spacing w:val="-2"/>
        </w:rPr>
        <w:t xml:space="preserve"> </w:t>
      </w:r>
      <w:r w:rsidRPr="00873527">
        <w:rPr>
          <w:rFonts w:ascii="Times" w:hAnsi="Times"/>
        </w:rPr>
        <w:t xml:space="preserve">Temporal Scale and Qualitative Social Transformation at Chaco Canyon, New Mexico.  </w:t>
      </w:r>
      <w:r w:rsidRPr="00873527">
        <w:rPr>
          <w:rFonts w:ascii="Times" w:hAnsi="Times"/>
          <w:i/>
        </w:rPr>
        <w:t>Cambridge Archaeological Journal</w:t>
      </w:r>
      <w:r w:rsidRPr="00873527">
        <w:rPr>
          <w:rFonts w:ascii="Times" w:hAnsi="Times"/>
        </w:rPr>
        <w:t xml:space="preserve"> 18(1):70-78.  </w:t>
      </w:r>
    </w:p>
    <w:p w:rsidR="00D975B5" w:rsidRPr="00873527" w:rsidRDefault="00D975B5" w:rsidP="00D975B5">
      <w:pPr>
        <w:rPr>
          <w:rFonts w:ascii="Times" w:hAnsi="Times"/>
        </w:rPr>
      </w:pPr>
    </w:p>
    <w:p w:rsidR="00D975B5" w:rsidRPr="00873527" w:rsidRDefault="00D975B5" w:rsidP="00D975B5">
      <w:pPr>
        <w:rPr>
          <w:rFonts w:ascii="Times" w:hAnsi="Times"/>
        </w:rPr>
      </w:pPr>
      <w:r w:rsidRPr="00873527">
        <w:rPr>
          <w:rFonts w:ascii="Times" w:hAnsi="Times"/>
        </w:rPr>
        <w:t xml:space="preserve">Lull, Vicente (2000a) Death and Society: A Marxist Approach. </w:t>
      </w:r>
      <w:r w:rsidRPr="00873527">
        <w:rPr>
          <w:rFonts w:ascii="Times" w:hAnsi="Times"/>
          <w:i/>
          <w:iCs/>
        </w:rPr>
        <w:t>Antiquity</w:t>
      </w:r>
      <w:r w:rsidRPr="00873527">
        <w:rPr>
          <w:rFonts w:ascii="Times" w:hAnsi="Times"/>
        </w:rPr>
        <w:t xml:space="preserve"> 74:576-580.</w:t>
      </w:r>
    </w:p>
    <w:p w:rsidR="00D975B5" w:rsidRPr="00873527" w:rsidRDefault="00D975B5" w:rsidP="00D975B5">
      <w:pPr>
        <w:rPr>
          <w:rFonts w:ascii="Times" w:hAnsi="Times"/>
        </w:rPr>
      </w:pPr>
    </w:p>
    <w:p w:rsidR="00D975B5" w:rsidRDefault="00D975B5" w:rsidP="00D975B5">
      <w:pPr>
        <w:rPr>
          <w:rFonts w:ascii="Times" w:hAnsi="Times"/>
        </w:rPr>
      </w:pPr>
      <w:r w:rsidRPr="00873527">
        <w:rPr>
          <w:rFonts w:ascii="Times" w:hAnsi="Times"/>
        </w:rPr>
        <w:t xml:space="preserve">Lull, Vicente (2000b) </w:t>
      </w:r>
      <w:proofErr w:type="spellStart"/>
      <w:r w:rsidRPr="00873527">
        <w:rPr>
          <w:rFonts w:ascii="Times" w:hAnsi="Times"/>
        </w:rPr>
        <w:t>Argaric</w:t>
      </w:r>
      <w:proofErr w:type="spellEnd"/>
      <w:r w:rsidRPr="00873527">
        <w:rPr>
          <w:rFonts w:ascii="Times" w:hAnsi="Times"/>
        </w:rPr>
        <w:t xml:space="preserve"> Society: Death at Home. </w:t>
      </w:r>
      <w:r w:rsidRPr="00873527">
        <w:rPr>
          <w:rFonts w:ascii="Times" w:hAnsi="Times"/>
          <w:i/>
          <w:iCs/>
        </w:rPr>
        <w:t>Antiquity</w:t>
      </w:r>
      <w:r w:rsidRPr="00873527">
        <w:rPr>
          <w:rFonts w:ascii="Times" w:hAnsi="Times"/>
        </w:rPr>
        <w:t xml:space="preserve"> 74:581-590. </w:t>
      </w:r>
    </w:p>
    <w:p w:rsidR="00672566" w:rsidRDefault="00672566" w:rsidP="00D975B5">
      <w:pPr>
        <w:rPr>
          <w:rFonts w:ascii="Times" w:hAnsi="Times"/>
        </w:rPr>
      </w:pPr>
    </w:p>
    <w:p w:rsidR="00672566" w:rsidRPr="00672566" w:rsidRDefault="00672566" w:rsidP="00D975B5">
      <w:pPr>
        <w:rPr>
          <w:rFonts w:ascii="Times" w:hAnsi="Times"/>
        </w:rPr>
      </w:pPr>
      <w:r>
        <w:rPr>
          <w:rFonts w:ascii="Times" w:hAnsi="Times"/>
        </w:rPr>
        <w:t xml:space="preserve">Patterson, Thomas (2014) Shell-Bead Money and the Mission Period Economy of Alta California. </w:t>
      </w:r>
      <w:r>
        <w:rPr>
          <w:rFonts w:ascii="Times" w:hAnsi="Times"/>
          <w:i/>
        </w:rPr>
        <w:t>Journal of Social Archaeology</w:t>
      </w:r>
      <w:r>
        <w:rPr>
          <w:rFonts w:ascii="Times" w:hAnsi="Times"/>
        </w:rPr>
        <w:t xml:space="preserve"> 14(1):112-127.</w:t>
      </w:r>
    </w:p>
    <w:p w:rsidR="00D975B5" w:rsidRPr="00873527" w:rsidRDefault="006A3FB7" w:rsidP="00D975B5">
      <w:pPr>
        <w:rPr>
          <w:b/>
        </w:rPr>
      </w:pPr>
      <w:r>
        <w:rPr>
          <w:b/>
        </w:rPr>
        <w:pict>
          <v:rect id="_x0000_i1030" style="width:0;height:1.5pt" o:hralign="center" o:hrstd="t" o:hr="t" fillcolor="#aaa" stroked="f"/>
        </w:pict>
      </w:r>
    </w:p>
    <w:p w:rsidR="00D975B5" w:rsidRPr="00873527" w:rsidRDefault="00D975B5" w:rsidP="004D292D">
      <w:pPr>
        <w:rPr>
          <w:b/>
        </w:rPr>
      </w:pPr>
    </w:p>
    <w:p w:rsidR="004D292D" w:rsidRPr="00873527" w:rsidRDefault="00A25315" w:rsidP="004D292D">
      <w:pPr>
        <w:rPr>
          <w:bCs/>
        </w:rPr>
      </w:pPr>
      <w:r w:rsidRPr="00873527">
        <w:rPr>
          <w:b/>
        </w:rPr>
        <w:t xml:space="preserve">October </w:t>
      </w:r>
      <w:r w:rsidR="00D975B5" w:rsidRPr="00873527">
        <w:rPr>
          <w:b/>
        </w:rPr>
        <w:t>15</w:t>
      </w:r>
      <w:r w:rsidRPr="00873527">
        <w:rPr>
          <w:b/>
        </w:rPr>
        <w:t xml:space="preserve"> - </w:t>
      </w:r>
      <w:r w:rsidR="004D292D" w:rsidRPr="00873527">
        <w:rPr>
          <w:b/>
        </w:rPr>
        <w:t>Analogy and Ethnoarchaeology/Research Design</w:t>
      </w:r>
      <w:r w:rsidR="004D292D" w:rsidRPr="00873527">
        <w:rPr>
          <w:bCs/>
        </w:rPr>
        <w:t xml:space="preserve"> </w:t>
      </w:r>
    </w:p>
    <w:p w:rsidR="004D292D" w:rsidRPr="00873527" w:rsidRDefault="004D292D" w:rsidP="004D292D"/>
    <w:p w:rsidR="004D292D" w:rsidRPr="00873527" w:rsidRDefault="004D292D" w:rsidP="004D292D">
      <w:proofErr w:type="gramStart"/>
      <w:r w:rsidRPr="00873527">
        <w:t>Gould, Richard A. and Patty Jo Wat</w:t>
      </w:r>
      <w:r w:rsidR="004277CD" w:rsidRPr="00873527">
        <w:t>son (1982) A Dialogue on the Me</w:t>
      </w:r>
      <w:r w:rsidRPr="00873527">
        <w:t>a</w:t>
      </w:r>
      <w:r w:rsidR="004277CD" w:rsidRPr="00873527">
        <w:t>n</w:t>
      </w:r>
      <w:r w:rsidRPr="00873527">
        <w:t>ing and Use of Analogy in Ethnoarchaeological Reasoning.</w:t>
      </w:r>
      <w:proofErr w:type="gramEnd"/>
      <w:r w:rsidRPr="00873527">
        <w:t xml:space="preserve">  </w:t>
      </w:r>
      <w:r w:rsidRPr="00873527">
        <w:rPr>
          <w:i/>
        </w:rPr>
        <w:t>Journal of Anthropological Archaeology</w:t>
      </w:r>
      <w:r w:rsidRPr="00873527">
        <w:t xml:space="preserve"> 1:355-381.</w:t>
      </w:r>
    </w:p>
    <w:p w:rsidR="004D292D" w:rsidRPr="00873527" w:rsidRDefault="004D292D" w:rsidP="004D292D"/>
    <w:p w:rsidR="004D292D" w:rsidRPr="00873527" w:rsidRDefault="004D292D" w:rsidP="004D292D">
      <w:pPr>
        <w:tabs>
          <w:tab w:val="left" w:pos="0"/>
          <w:tab w:val="left" w:pos="0"/>
        </w:tabs>
        <w:suppressAutoHyphens/>
        <w:jc w:val="both"/>
        <w:rPr>
          <w:spacing w:val="-3"/>
        </w:rPr>
      </w:pPr>
      <w:r w:rsidRPr="00873527">
        <w:rPr>
          <w:spacing w:val="-3"/>
        </w:rPr>
        <w:t>Kramer, Carol (</w:t>
      </w:r>
      <w:r w:rsidRPr="00873527">
        <w:t xml:space="preserve">1979) An Archaeological View of a Contemporary Kurdish Village:  Domestic Architecture, Household Size, and Wealth.  In </w:t>
      </w:r>
      <w:r w:rsidRPr="00873527">
        <w:rPr>
          <w:i/>
        </w:rPr>
        <w:t>Ethnoarchaeology: Implications of Ethnography for Archaeology</w:t>
      </w:r>
      <w:r w:rsidRPr="00873527">
        <w:t>, edited by Carol Kramer, pp. 139-163.  New York: Columbia University Press.</w:t>
      </w:r>
    </w:p>
    <w:p w:rsidR="004D292D" w:rsidRPr="00873527" w:rsidRDefault="004D292D" w:rsidP="004D2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zCs w:val="16"/>
          <w:highlight w:val="cyan"/>
        </w:rPr>
      </w:pPr>
    </w:p>
    <w:p w:rsidR="00A25315" w:rsidRPr="00672566" w:rsidRDefault="00425735">
      <w:pPr>
        <w:rPr>
          <w:rFonts w:cs="Times"/>
          <w:i/>
          <w:szCs w:val="16"/>
        </w:rPr>
      </w:pPr>
      <w:r w:rsidRPr="00873527">
        <w:rPr>
          <w:rFonts w:cs="Times"/>
          <w:szCs w:val="16"/>
        </w:rPr>
        <w:t>McGuire</w:t>
      </w:r>
      <w:r w:rsidR="00672566">
        <w:rPr>
          <w:rFonts w:cs="Times"/>
          <w:szCs w:val="16"/>
        </w:rPr>
        <w:t xml:space="preserve">, Randall H. and Elisa Villalpando (2014) </w:t>
      </w:r>
      <w:r w:rsidR="00672566" w:rsidRPr="00672566">
        <w:rPr>
          <w:rFonts w:cs="Times"/>
          <w:szCs w:val="16"/>
        </w:rPr>
        <w:t xml:space="preserve">War </w:t>
      </w:r>
      <w:r w:rsidR="009A7C85">
        <w:rPr>
          <w:rFonts w:cs="Times"/>
          <w:szCs w:val="16"/>
        </w:rPr>
        <w:t>a</w:t>
      </w:r>
      <w:r w:rsidR="00672566" w:rsidRPr="00672566">
        <w:rPr>
          <w:rFonts w:cs="Times"/>
          <w:szCs w:val="16"/>
        </w:rPr>
        <w:t xml:space="preserve">nd Defense </w:t>
      </w:r>
      <w:proofErr w:type="gramStart"/>
      <w:r w:rsidR="00672566" w:rsidRPr="00672566">
        <w:rPr>
          <w:rFonts w:cs="Times"/>
          <w:szCs w:val="16"/>
        </w:rPr>
        <w:t>On</w:t>
      </w:r>
      <w:proofErr w:type="gramEnd"/>
      <w:r w:rsidR="00672566" w:rsidRPr="00672566">
        <w:rPr>
          <w:rFonts w:cs="Times"/>
          <w:szCs w:val="16"/>
        </w:rPr>
        <w:t xml:space="preserve"> Cerros De Trincheras In Sonora, México</w:t>
      </w:r>
      <w:r w:rsidR="00672566">
        <w:rPr>
          <w:rFonts w:cs="Times"/>
          <w:szCs w:val="16"/>
        </w:rPr>
        <w:t xml:space="preserve">. Article Submitted to </w:t>
      </w:r>
      <w:r w:rsidR="00672566">
        <w:rPr>
          <w:rFonts w:cs="Times"/>
          <w:i/>
          <w:szCs w:val="16"/>
        </w:rPr>
        <w:t>American Antiquity.</w:t>
      </w:r>
    </w:p>
    <w:p w:rsidR="00425735" w:rsidRPr="00873527" w:rsidRDefault="00425735">
      <w:pPr>
        <w:rPr>
          <w:rFonts w:cs="Times"/>
          <w:szCs w:val="16"/>
        </w:rPr>
      </w:pPr>
    </w:p>
    <w:p w:rsidR="006D16C3" w:rsidRPr="00672566" w:rsidRDefault="006D16C3">
      <w:pPr>
        <w:rPr>
          <w:rFonts w:cs="Times"/>
          <w:szCs w:val="16"/>
        </w:rPr>
      </w:pPr>
      <w:r w:rsidRPr="00873527">
        <w:rPr>
          <w:rFonts w:cs="Times"/>
          <w:szCs w:val="16"/>
        </w:rPr>
        <w:t>Ware</w:t>
      </w:r>
      <w:r w:rsidR="00672566">
        <w:rPr>
          <w:rFonts w:cs="Times"/>
          <w:szCs w:val="16"/>
        </w:rPr>
        <w:t xml:space="preserve">, John (2014) </w:t>
      </w:r>
      <w:proofErr w:type="gramStart"/>
      <w:r w:rsidR="00672566">
        <w:rPr>
          <w:rFonts w:cs="Times"/>
          <w:i/>
          <w:szCs w:val="16"/>
        </w:rPr>
        <w:t>A</w:t>
      </w:r>
      <w:proofErr w:type="gramEnd"/>
      <w:r w:rsidR="00672566">
        <w:rPr>
          <w:rFonts w:cs="Times"/>
          <w:i/>
          <w:szCs w:val="16"/>
        </w:rPr>
        <w:t xml:space="preserve"> Pueblo Social History: Kinship, Solidarity and Community in the Northern Southwest.</w:t>
      </w:r>
      <w:r w:rsidR="00672566">
        <w:rPr>
          <w:rFonts w:cs="Times"/>
          <w:szCs w:val="16"/>
        </w:rPr>
        <w:t xml:space="preserve"> Santa Fe:</w:t>
      </w:r>
      <w:r w:rsidR="00672566" w:rsidRPr="00672566">
        <w:rPr>
          <w:rFonts w:cs="Times"/>
          <w:szCs w:val="16"/>
        </w:rPr>
        <w:t xml:space="preserve"> </w:t>
      </w:r>
      <w:r w:rsidR="00672566">
        <w:rPr>
          <w:rFonts w:cs="Times"/>
          <w:szCs w:val="16"/>
        </w:rPr>
        <w:t xml:space="preserve">SAR Press.  </w:t>
      </w:r>
      <w:r w:rsidR="00672566" w:rsidRPr="00672566">
        <w:rPr>
          <w:rFonts w:cs="Times"/>
          <w:b/>
          <w:szCs w:val="16"/>
        </w:rPr>
        <w:t>READ</w:t>
      </w:r>
      <w:r w:rsidR="00672566">
        <w:rPr>
          <w:rFonts w:cs="Times"/>
          <w:b/>
          <w:szCs w:val="16"/>
        </w:rPr>
        <w:t xml:space="preserve"> </w:t>
      </w:r>
      <w:r w:rsidR="00672566">
        <w:rPr>
          <w:rFonts w:cs="Times"/>
          <w:szCs w:val="16"/>
        </w:rPr>
        <w:t>Chapters 1 &amp; 8.</w:t>
      </w:r>
    </w:p>
    <w:p w:rsidR="006D16C3" w:rsidRPr="00873527" w:rsidRDefault="006D16C3">
      <w:pPr>
        <w:rPr>
          <w:rFonts w:cs="Times"/>
          <w:szCs w:val="16"/>
        </w:rPr>
      </w:pPr>
    </w:p>
    <w:p w:rsidR="006D16C3" w:rsidRPr="00672566" w:rsidRDefault="006D16C3">
      <w:pPr>
        <w:rPr>
          <w:rFonts w:cs="Times"/>
          <w:szCs w:val="16"/>
        </w:rPr>
      </w:pPr>
      <w:proofErr w:type="spellStart"/>
      <w:r w:rsidRPr="00873527">
        <w:rPr>
          <w:rFonts w:cs="Times"/>
          <w:szCs w:val="16"/>
        </w:rPr>
        <w:t>Fowles</w:t>
      </w:r>
      <w:proofErr w:type="spellEnd"/>
      <w:r w:rsidR="00672566">
        <w:rPr>
          <w:rFonts w:cs="Times"/>
          <w:szCs w:val="16"/>
        </w:rPr>
        <w:t xml:space="preserve">, </w:t>
      </w:r>
      <w:proofErr w:type="spellStart"/>
      <w:r w:rsidR="00672566">
        <w:rPr>
          <w:rFonts w:cs="Times"/>
          <w:szCs w:val="16"/>
        </w:rPr>
        <w:t>Severin</w:t>
      </w:r>
      <w:proofErr w:type="spellEnd"/>
      <w:r w:rsidR="00672566">
        <w:rPr>
          <w:rFonts w:cs="Times"/>
          <w:szCs w:val="16"/>
        </w:rPr>
        <w:t xml:space="preserve"> M. (2013) </w:t>
      </w:r>
      <w:proofErr w:type="gramStart"/>
      <w:r w:rsidR="00672566">
        <w:rPr>
          <w:rFonts w:cs="Times"/>
          <w:i/>
          <w:szCs w:val="16"/>
        </w:rPr>
        <w:t>An</w:t>
      </w:r>
      <w:proofErr w:type="gramEnd"/>
      <w:r w:rsidR="00672566">
        <w:rPr>
          <w:rFonts w:cs="Times"/>
          <w:i/>
          <w:szCs w:val="16"/>
        </w:rPr>
        <w:t xml:space="preserve"> Archaeology of Doings: Secularism and the Study of Pueblo Religion.</w:t>
      </w:r>
      <w:r w:rsidR="00672566">
        <w:rPr>
          <w:rFonts w:cs="Times"/>
          <w:szCs w:val="16"/>
        </w:rPr>
        <w:t xml:space="preserve"> Santa Fe: SAR Press. </w:t>
      </w:r>
      <w:r w:rsidR="00672566">
        <w:rPr>
          <w:rFonts w:cs="Times"/>
          <w:b/>
          <w:szCs w:val="16"/>
        </w:rPr>
        <w:t>READ</w:t>
      </w:r>
      <w:r w:rsidR="00672566">
        <w:rPr>
          <w:rFonts w:cs="Times"/>
          <w:szCs w:val="16"/>
        </w:rPr>
        <w:t xml:space="preserve"> Chapters </w:t>
      </w:r>
      <w:r w:rsidR="009A7C85">
        <w:rPr>
          <w:rFonts w:cs="Times"/>
          <w:szCs w:val="16"/>
        </w:rPr>
        <w:t>2, 3, &amp; 7</w:t>
      </w:r>
    </w:p>
    <w:p w:rsidR="00425735" w:rsidRPr="00873527" w:rsidRDefault="00425735"/>
    <w:p w:rsidR="00A25315" w:rsidRPr="00873527" w:rsidRDefault="006A3FB7">
      <w:r>
        <w:rPr>
          <w:b/>
        </w:rPr>
        <w:pict>
          <v:rect id="_x0000_i1031" style="width:0;height:1.5pt" o:hralign="center" o:hrstd="t" o:hr="t" fillcolor="#aaa" stroked="f"/>
        </w:pict>
      </w:r>
    </w:p>
    <w:p w:rsidR="00873527" w:rsidRPr="00873527" w:rsidRDefault="00A25315" w:rsidP="004D292D">
      <w:pPr>
        <w:rPr>
          <w:bCs/>
        </w:rPr>
      </w:pPr>
      <w:r w:rsidRPr="00873527">
        <w:rPr>
          <w:b/>
        </w:rPr>
        <w:t xml:space="preserve">October </w:t>
      </w:r>
      <w:r w:rsidR="00D975B5" w:rsidRPr="00873527">
        <w:rPr>
          <w:b/>
        </w:rPr>
        <w:t>22</w:t>
      </w:r>
      <w:r w:rsidRPr="00873527">
        <w:rPr>
          <w:b/>
        </w:rPr>
        <w:t xml:space="preserve"> </w:t>
      </w:r>
      <w:r w:rsidR="00C27FAA" w:rsidRPr="00873527">
        <w:rPr>
          <w:b/>
        </w:rPr>
        <w:t>–</w:t>
      </w:r>
      <w:r w:rsidRPr="00873527">
        <w:rPr>
          <w:b/>
        </w:rPr>
        <w:t xml:space="preserve"> </w:t>
      </w:r>
      <w:r w:rsidR="004D292D" w:rsidRPr="00873527">
        <w:rPr>
          <w:b/>
        </w:rPr>
        <w:t xml:space="preserve">Technology and </w:t>
      </w:r>
      <w:r w:rsidR="004D292D" w:rsidRPr="00873527">
        <w:rPr>
          <w:b/>
          <w:bCs/>
        </w:rPr>
        <w:t xml:space="preserve">Style </w:t>
      </w:r>
    </w:p>
    <w:p w:rsidR="00873527" w:rsidRPr="00873527" w:rsidRDefault="00873527" w:rsidP="004D292D">
      <w:pPr>
        <w:rPr>
          <w:bCs/>
        </w:rPr>
      </w:pPr>
    </w:p>
    <w:p w:rsidR="004D292D" w:rsidRPr="00873527" w:rsidRDefault="00873527" w:rsidP="00873527">
      <w:pPr>
        <w:jc w:val="center"/>
        <w:rPr>
          <w:b/>
          <w:bCs/>
        </w:rPr>
      </w:pPr>
      <w:r w:rsidRPr="00873527">
        <w:rPr>
          <w:b/>
          <w:bCs/>
        </w:rPr>
        <w:t>MIDTERM ESSAY DUE</w:t>
      </w:r>
      <w:r>
        <w:rPr>
          <w:b/>
          <w:bCs/>
        </w:rPr>
        <w:t xml:space="preserve"> IN CLASS</w:t>
      </w:r>
    </w:p>
    <w:p w:rsidR="004D292D" w:rsidRPr="00873527" w:rsidRDefault="004D292D" w:rsidP="004D292D"/>
    <w:p w:rsidR="004D292D" w:rsidRPr="00873527" w:rsidRDefault="004D292D" w:rsidP="004D292D">
      <w:proofErr w:type="spellStart"/>
      <w:r w:rsidRPr="00873527">
        <w:t>Dobres</w:t>
      </w:r>
      <w:proofErr w:type="spellEnd"/>
      <w:r w:rsidRPr="00873527">
        <w:t xml:space="preserve">, Marcia-Anne (1991) Technology’s Links and Chains:  The Processual Unfolding of Technique and Technician.  In </w:t>
      </w:r>
      <w:r w:rsidRPr="00873527">
        <w:rPr>
          <w:i/>
        </w:rPr>
        <w:t xml:space="preserve">The Social Dynamics of Technology:  Practice, Politics, and </w:t>
      </w:r>
      <w:r w:rsidRPr="00873527">
        <w:rPr>
          <w:i/>
        </w:rPr>
        <w:lastRenderedPageBreak/>
        <w:t>World Views</w:t>
      </w:r>
      <w:r w:rsidRPr="00873527">
        <w:t>, edited by Marcia-Anne Dobres and Christopher R. Hoffman. Washington, D.C.: Smithsonian Institute Press.</w:t>
      </w:r>
    </w:p>
    <w:p w:rsidR="004D292D" w:rsidRPr="00873527" w:rsidRDefault="004D292D" w:rsidP="004D292D"/>
    <w:p w:rsidR="004D292D" w:rsidRPr="00873527" w:rsidRDefault="004D292D" w:rsidP="004D292D">
      <w:proofErr w:type="gramStart"/>
      <w:r w:rsidRPr="00873527">
        <w:t>Spielmann, Katherine, Jeannette Mobley-</w:t>
      </w:r>
      <w:r w:rsidR="006D16C3" w:rsidRPr="00873527">
        <w:t>Tanaka, and James Potter (2006)</w:t>
      </w:r>
      <w:r w:rsidRPr="00873527">
        <w:t xml:space="preserve"> Style and Resistance in the Seventeenth-Century Salinas Province.</w:t>
      </w:r>
      <w:proofErr w:type="gramEnd"/>
      <w:r w:rsidRPr="00873527">
        <w:t xml:space="preserve">  </w:t>
      </w:r>
      <w:r w:rsidRPr="00873527">
        <w:rPr>
          <w:i/>
        </w:rPr>
        <w:t>American Antiquity</w:t>
      </w:r>
      <w:r w:rsidRPr="00873527">
        <w:t xml:space="preserve"> 71:621-647.  </w:t>
      </w:r>
    </w:p>
    <w:p w:rsidR="004D292D" w:rsidRPr="00873527" w:rsidRDefault="004D292D" w:rsidP="004D292D"/>
    <w:p w:rsidR="004D292D" w:rsidRPr="00873527" w:rsidRDefault="004D292D" w:rsidP="004D292D">
      <w:r w:rsidRPr="00873527">
        <w:t>Weissner, Polly (1983</w:t>
      </w:r>
      <w:proofErr w:type="gramStart"/>
      <w:r w:rsidRPr="00873527">
        <w:t>)  Style</w:t>
      </w:r>
      <w:proofErr w:type="gramEnd"/>
      <w:r w:rsidRPr="00873527">
        <w:t xml:space="preserve"> and Social Information in Kalahari San Projectile Points.  </w:t>
      </w:r>
      <w:r w:rsidRPr="00873527">
        <w:rPr>
          <w:i/>
        </w:rPr>
        <w:t>American Antiquity</w:t>
      </w:r>
      <w:r w:rsidRPr="00873527">
        <w:t xml:space="preserve"> 48(2):253-276.</w:t>
      </w:r>
    </w:p>
    <w:p w:rsidR="004D292D" w:rsidRPr="00873527" w:rsidRDefault="004D292D" w:rsidP="004D292D"/>
    <w:p w:rsidR="004D292D" w:rsidRDefault="004D292D" w:rsidP="004D292D">
      <w:r w:rsidRPr="00873527">
        <w:t xml:space="preserve">Sackett, James R. (1985) Style and Ethnicity in the Kalahari:  A Reply to Weissner.  </w:t>
      </w:r>
      <w:r w:rsidRPr="00873527">
        <w:rPr>
          <w:i/>
        </w:rPr>
        <w:t>American Antiquity</w:t>
      </w:r>
      <w:r w:rsidRPr="00873527">
        <w:t xml:space="preserve"> 50(1):154-166.</w:t>
      </w:r>
    </w:p>
    <w:p w:rsidR="0059747E" w:rsidRDefault="0059747E" w:rsidP="004D292D"/>
    <w:p w:rsidR="0059747E" w:rsidRPr="00873527" w:rsidRDefault="0059747E" w:rsidP="004D292D">
      <w:r>
        <w:t xml:space="preserve">Thomas, </w:t>
      </w:r>
      <w:r w:rsidRPr="0059747E">
        <w:t xml:space="preserve">T. </w:t>
      </w:r>
      <w:r w:rsidR="00847E3E">
        <w:t>(</w:t>
      </w:r>
      <w:r w:rsidRPr="0059747E">
        <w:t>2009</w:t>
      </w:r>
      <w:r w:rsidR="00847E3E">
        <w:t>)</w:t>
      </w:r>
      <w:bookmarkStart w:id="0" w:name="_GoBack"/>
      <w:bookmarkEnd w:id="0"/>
      <w:r w:rsidRPr="0059747E">
        <w:t xml:space="preserve">. </w:t>
      </w:r>
      <w:proofErr w:type="gramStart"/>
      <w:r w:rsidRPr="0059747E">
        <w:t xml:space="preserve">Communities of Practice in the Archaeological Record of New Georgia, </w:t>
      </w:r>
      <w:proofErr w:type="spellStart"/>
      <w:r w:rsidRPr="0059747E">
        <w:t>Rendova</w:t>
      </w:r>
      <w:proofErr w:type="spellEnd"/>
      <w:r w:rsidRPr="0059747E">
        <w:t xml:space="preserve"> and </w:t>
      </w:r>
      <w:proofErr w:type="spellStart"/>
      <w:r w:rsidRPr="0059747E">
        <w:t>Tetepare</w:t>
      </w:r>
      <w:proofErr w:type="spellEnd"/>
      <w:r w:rsidRPr="0059747E">
        <w:t>.</w:t>
      </w:r>
      <w:proofErr w:type="gramEnd"/>
      <w:r w:rsidRPr="0059747E">
        <w:t xml:space="preserve"> In Sheppard, P., Thomas, T., and </w:t>
      </w:r>
      <w:proofErr w:type="spellStart"/>
      <w:r w:rsidRPr="0059747E">
        <w:t>Summerhayes</w:t>
      </w:r>
      <w:proofErr w:type="spellEnd"/>
      <w:r w:rsidRPr="0059747E">
        <w:t xml:space="preserve">, G., Eds. Lapita: ancestors and descendants. </w:t>
      </w:r>
      <w:proofErr w:type="gramStart"/>
      <w:r w:rsidRPr="0059747E">
        <w:t>NZAA Monograph 28.</w:t>
      </w:r>
      <w:proofErr w:type="gramEnd"/>
      <w:r w:rsidRPr="0059747E">
        <w:t xml:space="preserve"> New Zealand Archaeological Association: Auckland</w:t>
      </w:r>
    </w:p>
    <w:p w:rsidR="004D292D" w:rsidRPr="00873527" w:rsidRDefault="004D292D" w:rsidP="004D292D"/>
    <w:p w:rsidR="00C27FAA" w:rsidRPr="00873527" w:rsidRDefault="006A3FB7" w:rsidP="00A25315">
      <w:pPr>
        <w:rPr>
          <w:b/>
        </w:rPr>
      </w:pPr>
      <w:r>
        <w:rPr>
          <w:b/>
        </w:rPr>
        <w:pict>
          <v:rect id="_x0000_i1032" style="width:0;height:1.5pt" o:hralign="center" o:hrstd="t" o:hr="t" fillcolor="#aaa" stroked="f"/>
        </w:pict>
      </w:r>
    </w:p>
    <w:p w:rsidR="00645E22" w:rsidRPr="00873527" w:rsidRDefault="00645E22" w:rsidP="00645E22">
      <w:pPr>
        <w:rPr>
          <w:rFonts w:ascii="Times" w:hAnsi="Times"/>
          <w:bCs/>
        </w:rPr>
      </w:pPr>
      <w:r>
        <w:rPr>
          <w:rFonts w:ascii="Times" w:hAnsi="Times"/>
          <w:b/>
          <w:bCs/>
        </w:rPr>
        <w:t>October 2</w:t>
      </w:r>
      <w:r w:rsidRPr="00873527">
        <w:rPr>
          <w:rFonts w:ascii="Times" w:hAnsi="Times"/>
          <w:b/>
          <w:bCs/>
        </w:rPr>
        <w:t>9 – Space, Place, &amp; Landscape</w:t>
      </w:r>
      <w:r w:rsidRPr="00873527">
        <w:rPr>
          <w:rFonts w:ascii="Times" w:hAnsi="Times"/>
          <w:bCs/>
        </w:rPr>
        <w:t xml:space="preserve"> </w:t>
      </w:r>
    </w:p>
    <w:p w:rsidR="00645E22" w:rsidRPr="00873527" w:rsidRDefault="00645E22" w:rsidP="00645E22">
      <w:pPr>
        <w:rPr>
          <w:rFonts w:ascii="Times" w:hAnsi="Times"/>
          <w:b/>
          <w:bCs/>
        </w:rPr>
      </w:pPr>
    </w:p>
    <w:p w:rsidR="00645E22" w:rsidRPr="00873527" w:rsidRDefault="00645E22" w:rsidP="00645E22">
      <w:pPr>
        <w:rPr>
          <w:noProof/>
        </w:rPr>
      </w:pPr>
      <w:r w:rsidRPr="00873527">
        <w:rPr>
          <w:noProof/>
        </w:rPr>
        <w:t xml:space="preserve">Bradley, Richard (2000)  </w:t>
      </w:r>
      <w:r w:rsidRPr="00873527">
        <w:rPr>
          <w:i/>
          <w:noProof/>
        </w:rPr>
        <w:t>An Archaeology of Natural Places</w:t>
      </w:r>
      <w:r w:rsidRPr="00873527">
        <w:rPr>
          <w:noProof/>
        </w:rPr>
        <w:t>, Chaps. 1 and 3. New York: Routledge.</w:t>
      </w:r>
    </w:p>
    <w:p w:rsidR="00645E22" w:rsidRPr="00873527" w:rsidRDefault="00645E22" w:rsidP="00645E22">
      <w:pPr>
        <w:rPr>
          <w:rFonts w:ascii="Times" w:hAnsi="Times"/>
          <w:bCs/>
        </w:rPr>
      </w:pPr>
    </w:p>
    <w:p w:rsidR="00645E22" w:rsidRPr="00873527" w:rsidRDefault="00645E22" w:rsidP="00645E22">
      <w:pPr>
        <w:pStyle w:val="Blockquote"/>
        <w:tabs>
          <w:tab w:val="clear" w:pos="360"/>
        </w:tabs>
        <w:ind w:left="0" w:right="0"/>
        <w:rPr>
          <w:rFonts w:ascii="Times" w:hAnsi="Times"/>
        </w:rPr>
      </w:pPr>
      <w:r w:rsidRPr="00873527">
        <w:rPr>
          <w:rFonts w:ascii="Times" w:hAnsi="Times"/>
        </w:rPr>
        <w:t xml:space="preserve">Inomata, Takeshi (2006) Plazas, Performers, and Spectators: Political Theaters of the Classic Maya.  </w:t>
      </w:r>
      <w:r w:rsidRPr="00873527">
        <w:rPr>
          <w:rFonts w:ascii="Times" w:hAnsi="Times"/>
          <w:i/>
        </w:rPr>
        <w:t>Current Anthropology</w:t>
      </w:r>
      <w:r w:rsidRPr="00873527">
        <w:rPr>
          <w:rFonts w:ascii="Times" w:hAnsi="Times"/>
        </w:rPr>
        <w:t xml:space="preserve"> 47:805-842.  </w:t>
      </w:r>
    </w:p>
    <w:p w:rsidR="00645E22" w:rsidRPr="00873527" w:rsidRDefault="00645E22" w:rsidP="00645E22">
      <w:pPr>
        <w:pStyle w:val="Blockquote"/>
        <w:tabs>
          <w:tab w:val="clear" w:pos="360"/>
        </w:tabs>
        <w:ind w:left="0" w:right="0"/>
        <w:rPr>
          <w:rFonts w:ascii="Times" w:hAnsi="Times"/>
        </w:rPr>
      </w:pPr>
    </w:p>
    <w:p w:rsidR="00645E22" w:rsidRPr="00873527" w:rsidRDefault="00645E22" w:rsidP="00645E22">
      <w:pPr>
        <w:pStyle w:val="Blockquote"/>
        <w:tabs>
          <w:tab w:val="clear" w:pos="360"/>
        </w:tabs>
        <w:ind w:left="0" w:right="0"/>
        <w:rPr>
          <w:rFonts w:ascii="Times" w:hAnsi="Times"/>
        </w:rPr>
      </w:pPr>
      <w:r w:rsidRPr="00873527">
        <w:rPr>
          <w:rFonts w:ascii="Times" w:hAnsi="Times"/>
        </w:rPr>
        <w:t>Tilley, Christopher (2004</w:t>
      </w:r>
      <w:proofErr w:type="gramStart"/>
      <w:r w:rsidRPr="00873527">
        <w:rPr>
          <w:rFonts w:ascii="Times" w:hAnsi="Times"/>
        </w:rPr>
        <w:t>)  Chapters</w:t>
      </w:r>
      <w:proofErr w:type="gramEnd"/>
      <w:r w:rsidRPr="00873527">
        <w:rPr>
          <w:rFonts w:ascii="Times" w:hAnsi="Times"/>
        </w:rPr>
        <w:t xml:space="preserve"> 1 &amp; 2</w:t>
      </w:r>
      <w:r w:rsidRPr="00873527">
        <w:rPr>
          <w:rFonts w:ascii="Times" w:hAnsi="Times"/>
          <w:i/>
        </w:rPr>
        <w:t xml:space="preserve">.  </w:t>
      </w:r>
      <w:r w:rsidRPr="00873527">
        <w:rPr>
          <w:rFonts w:ascii="Times" w:hAnsi="Times"/>
        </w:rPr>
        <w:t>In</w:t>
      </w:r>
      <w:r w:rsidRPr="00873527">
        <w:rPr>
          <w:rFonts w:ascii="Times" w:hAnsi="Times"/>
          <w:i/>
        </w:rPr>
        <w:t xml:space="preserve"> The Materiality of Stone: Explorations in Landscape Phenomenology 1</w:t>
      </w:r>
      <w:r w:rsidRPr="00873527">
        <w:rPr>
          <w:rFonts w:ascii="Times" w:hAnsi="Times"/>
        </w:rPr>
        <w:t xml:space="preserve">.  Oxford: Berg.  </w:t>
      </w:r>
    </w:p>
    <w:p w:rsidR="00645E22" w:rsidRPr="00873527" w:rsidRDefault="00645E22" w:rsidP="00645E22">
      <w:pPr>
        <w:rPr>
          <w:rFonts w:ascii="Times" w:hAnsi="Times"/>
        </w:rPr>
      </w:pPr>
    </w:p>
    <w:p w:rsidR="00645E22" w:rsidRPr="00873527" w:rsidRDefault="00645E22" w:rsidP="00645E22">
      <w:pPr>
        <w:pStyle w:val="Blockquote"/>
        <w:tabs>
          <w:tab w:val="clear" w:pos="360"/>
        </w:tabs>
        <w:ind w:left="0" w:right="0"/>
        <w:rPr>
          <w:rFonts w:ascii="Times" w:hAnsi="Times"/>
        </w:rPr>
      </w:pPr>
      <w:proofErr w:type="spellStart"/>
      <w:r w:rsidRPr="00873527">
        <w:rPr>
          <w:rFonts w:ascii="Times" w:hAnsi="Times"/>
        </w:rPr>
        <w:t>Ashmore</w:t>
      </w:r>
      <w:proofErr w:type="spellEnd"/>
      <w:r w:rsidRPr="00873527">
        <w:rPr>
          <w:rFonts w:ascii="Times" w:hAnsi="Times"/>
        </w:rPr>
        <w:t xml:space="preserve">, Wendy (2002) “Decisions and Dispositions”: Socializing Spatial Archaeology. </w:t>
      </w:r>
      <w:r w:rsidRPr="00873527">
        <w:rPr>
          <w:rFonts w:ascii="Times" w:hAnsi="Times"/>
          <w:i/>
          <w:iCs/>
        </w:rPr>
        <w:t>American Anthropologist</w:t>
      </w:r>
      <w:r w:rsidRPr="00873527">
        <w:rPr>
          <w:rFonts w:ascii="Times" w:hAnsi="Times"/>
        </w:rPr>
        <w:t xml:space="preserve"> 104(4):1172-1183.</w:t>
      </w:r>
    </w:p>
    <w:p w:rsidR="00645E22" w:rsidRPr="00873527" w:rsidRDefault="00645E22" w:rsidP="00645E22">
      <w:pPr>
        <w:pStyle w:val="Blockquote"/>
        <w:tabs>
          <w:tab w:val="clear" w:pos="360"/>
        </w:tabs>
        <w:ind w:left="0" w:right="0"/>
      </w:pPr>
    </w:p>
    <w:p w:rsidR="00645E22" w:rsidRPr="00873527" w:rsidRDefault="00645E22" w:rsidP="00645E22">
      <w:pPr>
        <w:tabs>
          <w:tab w:val="left" w:pos="-720"/>
          <w:tab w:val="left" w:pos="0"/>
          <w:tab w:val="left" w:pos="180"/>
        </w:tabs>
        <w:suppressAutoHyphens/>
        <w:rPr>
          <w:spacing w:val="-2"/>
        </w:rPr>
      </w:pPr>
      <w:r w:rsidRPr="00873527">
        <w:rPr>
          <w:spacing w:val="-2"/>
        </w:rPr>
        <w:t xml:space="preserve">Van Dyke, Ruth M. (2004) Memory, Meaning, and Masonry:  The Late Bonito </w:t>
      </w:r>
      <w:proofErr w:type="spellStart"/>
      <w:r w:rsidRPr="00873527">
        <w:rPr>
          <w:spacing w:val="-2"/>
        </w:rPr>
        <w:t>Chacoan</w:t>
      </w:r>
      <w:proofErr w:type="spellEnd"/>
      <w:r w:rsidRPr="00873527">
        <w:rPr>
          <w:spacing w:val="-2"/>
        </w:rPr>
        <w:t xml:space="preserve"> Landscape.  </w:t>
      </w:r>
      <w:r w:rsidRPr="00873527">
        <w:rPr>
          <w:i/>
          <w:spacing w:val="-2"/>
        </w:rPr>
        <w:t xml:space="preserve">American Antiquity </w:t>
      </w:r>
      <w:r w:rsidRPr="00873527">
        <w:rPr>
          <w:spacing w:val="-2"/>
        </w:rPr>
        <w:t>69(3</w:t>
      </w:r>
      <w:r w:rsidRPr="00873527">
        <w:rPr>
          <w:i/>
          <w:spacing w:val="-2"/>
        </w:rPr>
        <w:t>)</w:t>
      </w:r>
      <w:r w:rsidRPr="00873527">
        <w:rPr>
          <w:spacing w:val="-2"/>
        </w:rPr>
        <w:t>:413-431.</w:t>
      </w:r>
    </w:p>
    <w:p w:rsidR="00645E22" w:rsidRPr="00873527" w:rsidRDefault="00645E22" w:rsidP="00645E22">
      <w:pPr>
        <w:tabs>
          <w:tab w:val="left" w:pos="-720"/>
          <w:tab w:val="left" w:pos="0"/>
          <w:tab w:val="left" w:pos="180"/>
        </w:tabs>
        <w:suppressAutoHyphens/>
        <w:rPr>
          <w:spacing w:val="-2"/>
        </w:rPr>
      </w:pPr>
    </w:p>
    <w:p w:rsidR="00645E22" w:rsidRDefault="00645E22" w:rsidP="00645E22">
      <w:pPr>
        <w:tabs>
          <w:tab w:val="left" w:pos="-720"/>
          <w:tab w:val="left" w:pos="0"/>
          <w:tab w:val="left" w:pos="180"/>
        </w:tabs>
        <w:suppressAutoHyphens/>
        <w:rPr>
          <w:szCs w:val="22"/>
        </w:rPr>
      </w:pPr>
      <w:proofErr w:type="spellStart"/>
      <w:r w:rsidRPr="00873527">
        <w:rPr>
          <w:szCs w:val="22"/>
        </w:rPr>
        <w:t>Gallivan</w:t>
      </w:r>
      <w:proofErr w:type="spellEnd"/>
      <w:r w:rsidRPr="00873527">
        <w:rPr>
          <w:szCs w:val="22"/>
        </w:rPr>
        <w:t xml:space="preserve">, Martin D. (2007).  Powhatan’s </w:t>
      </w:r>
      <w:proofErr w:type="spellStart"/>
      <w:r w:rsidRPr="00873527">
        <w:rPr>
          <w:szCs w:val="22"/>
        </w:rPr>
        <w:t>Werowocomoco</w:t>
      </w:r>
      <w:proofErr w:type="spellEnd"/>
      <w:r w:rsidRPr="00873527">
        <w:rPr>
          <w:szCs w:val="22"/>
        </w:rPr>
        <w:t xml:space="preserve">:  Constructing Place, Polity, and Personhood in the Chesapeake, C.E. 1200 – C.E. 1609.  </w:t>
      </w:r>
      <w:r w:rsidRPr="00873527">
        <w:rPr>
          <w:i/>
          <w:szCs w:val="22"/>
        </w:rPr>
        <w:t xml:space="preserve">American Anthropologist </w:t>
      </w:r>
      <w:r w:rsidRPr="00873527">
        <w:rPr>
          <w:szCs w:val="22"/>
        </w:rPr>
        <w:t>109(1):85-100.</w:t>
      </w:r>
    </w:p>
    <w:p w:rsidR="00645E22" w:rsidRPr="00873527" w:rsidRDefault="00645E22" w:rsidP="00645E22">
      <w:pPr>
        <w:tabs>
          <w:tab w:val="left" w:pos="-720"/>
          <w:tab w:val="left" w:pos="0"/>
          <w:tab w:val="left" w:pos="180"/>
        </w:tabs>
        <w:suppressAutoHyphens/>
        <w:rPr>
          <w:spacing w:val="-2"/>
        </w:rPr>
      </w:pPr>
    </w:p>
    <w:p w:rsidR="00A25315" w:rsidRPr="00873527" w:rsidRDefault="006A3FB7" w:rsidP="00645E22">
      <w:pPr>
        <w:rPr>
          <w:lang w:val="es-MX"/>
        </w:rPr>
      </w:pPr>
      <w:r>
        <w:rPr>
          <w:rFonts w:ascii="Times" w:hAnsi="Times"/>
          <w:b/>
        </w:rPr>
        <w:pict>
          <v:rect id="_x0000_i1033" style="width:0;height:1.5pt" o:hralign="center" o:hrstd="t" o:hr="t" fillcolor="#aaa" stroked="f"/>
        </w:pict>
      </w:r>
    </w:p>
    <w:p w:rsidR="0085311D" w:rsidRPr="00873527" w:rsidRDefault="0085311D" w:rsidP="0085311D">
      <w:r w:rsidRPr="00873527">
        <w:rPr>
          <w:rFonts w:ascii="Times" w:hAnsi="Times"/>
          <w:b/>
          <w:bCs/>
        </w:rPr>
        <w:t xml:space="preserve">November </w:t>
      </w:r>
      <w:r w:rsidR="00B140AB" w:rsidRPr="00873527">
        <w:rPr>
          <w:rFonts w:ascii="Times" w:hAnsi="Times"/>
          <w:b/>
          <w:bCs/>
        </w:rPr>
        <w:t>5</w:t>
      </w:r>
      <w:r w:rsidRPr="00873527">
        <w:rPr>
          <w:rFonts w:ascii="Times" w:hAnsi="Times"/>
          <w:b/>
          <w:bCs/>
        </w:rPr>
        <w:t xml:space="preserve"> </w:t>
      </w:r>
      <w:r w:rsidR="00C145A8" w:rsidRPr="00873527">
        <w:rPr>
          <w:rFonts w:ascii="Times" w:hAnsi="Times"/>
          <w:b/>
          <w:bCs/>
        </w:rPr>
        <w:t>–</w:t>
      </w:r>
      <w:r w:rsidRPr="00873527">
        <w:rPr>
          <w:rFonts w:ascii="Times" w:hAnsi="Times"/>
          <w:b/>
          <w:bCs/>
        </w:rPr>
        <w:t xml:space="preserve"> </w:t>
      </w:r>
      <w:r w:rsidRPr="00873527">
        <w:rPr>
          <w:b/>
          <w:bCs/>
        </w:rPr>
        <w:t>Materiality</w:t>
      </w:r>
      <w:r w:rsidR="00C145A8" w:rsidRPr="00873527">
        <w:rPr>
          <w:b/>
          <w:bCs/>
        </w:rPr>
        <w:t xml:space="preserve"> (Ruth </w:t>
      </w:r>
      <w:r w:rsidR="009837FE" w:rsidRPr="00873527">
        <w:rPr>
          <w:b/>
          <w:bCs/>
        </w:rPr>
        <w:t>Van Dyke</w:t>
      </w:r>
      <w:r w:rsidR="00C145A8" w:rsidRPr="00873527">
        <w:rPr>
          <w:b/>
          <w:bCs/>
        </w:rPr>
        <w:t>)</w:t>
      </w:r>
    </w:p>
    <w:p w:rsidR="0085311D" w:rsidRPr="00873527" w:rsidRDefault="0085311D" w:rsidP="0085311D">
      <w:pPr>
        <w:pStyle w:val="MediumList2-Accent41"/>
        <w:widowControl/>
        <w:autoSpaceDE/>
        <w:autoSpaceDN/>
        <w:adjustRightInd/>
        <w:ind w:left="0"/>
        <w:rPr>
          <w:rFonts w:ascii="Times New Roman" w:hAnsi="Times New Roman"/>
          <w:sz w:val="24"/>
        </w:rPr>
      </w:pPr>
    </w:p>
    <w:p w:rsidR="00C145A8" w:rsidRPr="00873527" w:rsidRDefault="00C145A8" w:rsidP="00C145A8">
      <w:proofErr w:type="spellStart"/>
      <w:r w:rsidRPr="00873527">
        <w:t>Alberti</w:t>
      </w:r>
      <w:proofErr w:type="spellEnd"/>
      <w:r w:rsidRPr="00873527">
        <w:t xml:space="preserve">, Benjamin, </w:t>
      </w:r>
      <w:proofErr w:type="spellStart"/>
      <w:r w:rsidRPr="00873527">
        <w:t>Severin</w:t>
      </w:r>
      <w:proofErr w:type="spellEnd"/>
      <w:r w:rsidRPr="00873527">
        <w:t xml:space="preserve"> </w:t>
      </w:r>
      <w:proofErr w:type="spellStart"/>
      <w:r w:rsidRPr="00873527">
        <w:t>Fowles</w:t>
      </w:r>
      <w:proofErr w:type="spellEnd"/>
      <w:r w:rsidRPr="00873527">
        <w:t xml:space="preserve">, Martin </w:t>
      </w:r>
      <w:proofErr w:type="spellStart"/>
      <w:r w:rsidRPr="00873527">
        <w:t>Holbraad</w:t>
      </w:r>
      <w:proofErr w:type="spellEnd"/>
      <w:r w:rsidRPr="00873527">
        <w:t xml:space="preserve">, Yvonne Marshall and Christopher </w:t>
      </w:r>
      <w:proofErr w:type="spellStart"/>
      <w:r w:rsidRPr="00873527">
        <w:t>Witmore</w:t>
      </w:r>
      <w:proofErr w:type="spellEnd"/>
      <w:r w:rsidRPr="00873527">
        <w:t xml:space="preserve"> (2011) "Worlds Otherwise":  Archaeology, Anthropology, and Ontological Difference. Current Anthropology 52(6):896-912.</w:t>
      </w:r>
    </w:p>
    <w:p w:rsidR="00C145A8" w:rsidRPr="00873527" w:rsidRDefault="00C145A8" w:rsidP="00C145A8"/>
    <w:p w:rsidR="00C145A8" w:rsidRPr="00873527" w:rsidRDefault="00C145A8" w:rsidP="00C145A8">
      <w:r w:rsidRPr="00873527">
        <w:lastRenderedPageBreak/>
        <w:t xml:space="preserve"> </w:t>
      </w:r>
      <w:proofErr w:type="spellStart"/>
      <w:r w:rsidRPr="00873527">
        <w:t>Gell</w:t>
      </w:r>
      <w:proofErr w:type="spellEnd"/>
      <w:r w:rsidRPr="00873527">
        <w:t xml:space="preserve">, Alfred (1992) </w:t>
      </w:r>
      <w:proofErr w:type="gramStart"/>
      <w:r w:rsidRPr="00873527">
        <w:t>The</w:t>
      </w:r>
      <w:proofErr w:type="gramEnd"/>
      <w:r w:rsidRPr="00873527">
        <w:t xml:space="preserve"> Technology of Enchantment and the Enchantment of Technology. </w:t>
      </w:r>
      <w:proofErr w:type="gramStart"/>
      <w:r w:rsidRPr="00873527">
        <w:t xml:space="preserve">In Anthropology, Art, and Aesthetics, edited by J. </w:t>
      </w:r>
      <w:proofErr w:type="spellStart"/>
      <w:r w:rsidRPr="00873527">
        <w:t>Coote</w:t>
      </w:r>
      <w:proofErr w:type="spellEnd"/>
      <w:r w:rsidRPr="00873527">
        <w:t xml:space="preserve"> and A. Shelton, pp. 40-67.</w:t>
      </w:r>
      <w:proofErr w:type="gramEnd"/>
      <w:r w:rsidRPr="00873527">
        <w:t xml:space="preserve"> Clarendon Press, Oxford.</w:t>
      </w:r>
    </w:p>
    <w:p w:rsidR="00C145A8" w:rsidRPr="00873527" w:rsidRDefault="00C145A8" w:rsidP="00C145A8"/>
    <w:p w:rsidR="00C145A8" w:rsidRPr="00873527" w:rsidRDefault="00C145A8" w:rsidP="00C145A8">
      <w:proofErr w:type="spellStart"/>
      <w:r w:rsidRPr="00873527">
        <w:t>Ingold</w:t>
      </w:r>
      <w:proofErr w:type="spellEnd"/>
      <w:r w:rsidRPr="00873527">
        <w:t>, Tim et al. (2008</w:t>
      </w:r>
      <w:proofErr w:type="gramStart"/>
      <w:r w:rsidRPr="00873527">
        <w:t>)  Materials</w:t>
      </w:r>
      <w:proofErr w:type="gramEnd"/>
      <w:r w:rsidRPr="00873527">
        <w:t xml:space="preserve"> against Materiality.   Archaeological Dialogues 14 (1):1-38.</w:t>
      </w:r>
    </w:p>
    <w:p w:rsidR="00C145A8" w:rsidRPr="00873527" w:rsidRDefault="00C145A8" w:rsidP="00C145A8"/>
    <w:p w:rsidR="00A25315" w:rsidRPr="00873527" w:rsidRDefault="00C145A8" w:rsidP="00C145A8">
      <w:pPr>
        <w:rPr>
          <w:rFonts w:ascii="Times" w:hAnsi="Times"/>
        </w:rPr>
      </w:pPr>
      <w:proofErr w:type="spellStart"/>
      <w:r w:rsidRPr="00873527">
        <w:t>Latour</w:t>
      </w:r>
      <w:proofErr w:type="spellEnd"/>
      <w:r w:rsidRPr="00873527">
        <w:t xml:space="preserve">, Bruno (1994) </w:t>
      </w:r>
      <w:proofErr w:type="spellStart"/>
      <w:r w:rsidRPr="00873527">
        <w:t>Pragmotagonies</w:t>
      </w:r>
      <w:proofErr w:type="spellEnd"/>
      <w:r w:rsidRPr="00873527">
        <w:t>:  A Mythical Account of How Humans and Nonhumans Swap Properties.  American Behavioral Scientist 37(6):791-808.</w:t>
      </w:r>
    </w:p>
    <w:p w:rsidR="00A25315" w:rsidRPr="00873527" w:rsidRDefault="006A3FB7">
      <w:pPr>
        <w:rPr>
          <w:rFonts w:ascii="Times" w:hAnsi="Times"/>
        </w:rPr>
      </w:pPr>
      <w:r>
        <w:rPr>
          <w:rFonts w:ascii="Times" w:hAnsi="Times"/>
          <w:b/>
        </w:rPr>
        <w:pict>
          <v:rect id="_x0000_i1034" style="width:0;height:1.5pt" o:hralign="center" o:hrstd="t" o:hr="t" fillcolor="#aaa" stroked="f"/>
        </w:pict>
      </w:r>
    </w:p>
    <w:p w:rsidR="00A25315" w:rsidRPr="00873527" w:rsidRDefault="002421E8" w:rsidP="00A25315">
      <w:pPr>
        <w:rPr>
          <w:rFonts w:ascii="Times" w:hAnsi="Times"/>
        </w:rPr>
      </w:pPr>
      <w:r w:rsidRPr="00873527">
        <w:rPr>
          <w:rFonts w:ascii="Times" w:hAnsi="Times"/>
          <w:b/>
          <w:bCs/>
        </w:rPr>
        <w:t xml:space="preserve">November 12 </w:t>
      </w:r>
      <w:r w:rsidR="00A25315" w:rsidRPr="00873527">
        <w:rPr>
          <w:rFonts w:ascii="Times" w:hAnsi="Times"/>
          <w:b/>
          <w:bCs/>
        </w:rPr>
        <w:t>–</w:t>
      </w:r>
      <w:r w:rsidR="00C262B3" w:rsidRPr="00873527">
        <w:rPr>
          <w:rFonts w:ascii="Times" w:hAnsi="Times"/>
          <w:b/>
          <w:bCs/>
        </w:rPr>
        <w:t xml:space="preserve"> </w:t>
      </w:r>
      <w:r w:rsidR="00A25315" w:rsidRPr="00873527">
        <w:rPr>
          <w:rFonts w:ascii="Times" w:hAnsi="Times"/>
          <w:b/>
          <w:bCs/>
        </w:rPr>
        <w:t>Collaborative &amp; Indigenous Archaeologies</w:t>
      </w:r>
      <w:r w:rsidR="00A25315" w:rsidRPr="00873527">
        <w:rPr>
          <w:rFonts w:ascii="Times" w:hAnsi="Times"/>
          <w:bCs/>
        </w:rPr>
        <w:t xml:space="preserve"> </w:t>
      </w:r>
    </w:p>
    <w:p w:rsidR="00A25315" w:rsidRPr="00873527" w:rsidRDefault="00A25315" w:rsidP="00A25315">
      <w:pPr>
        <w:rPr>
          <w:rFonts w:ascii="Times" w:hAnsi="Times"/>
          <w:b/>
          <w:bCs/>
          <w:highlight w:val="yellow"/>
        </w:rPr>
      </w:pPr>
    </w:p>
    <w:p w:rsidR="00A25315" w:rsidRPr="00873527" w:rsidRDefault="00A25315" w:rsidP="00A25315">
      <w:proofErr w:type="gramStart"/>
      <w:r w:rsidRPr="00873527">
        <w:t>Parker Pearson, Mike and Ramilisonina (2004) Public Archaeology and Indigenous Communities.</w:t>
      </w:r>
      <w:proofErr w:type="gramEnd"/>
      <w:r w:rsidRPr="00873527">
        <w:t xml:space="preserve">  </w:t>
      </w:r>
      <w:proofErr w:type="gramStart"/>
      <w:r w:rsidRPr="00873527">
        <w:t xml:space="preserve">In </w:t>
      </w:r>
      <w:r w:rsidRPr="00873527">
        <w:rPr>
          <w:i/>
        </w:rPr>
        <w:t>Public Archaeology</w:t>
      </w:r>
      <w:r w:rsidRPr="00873527">
        <w:t xml:space="preserve">, </w:t>
      </w:r>
      <w:r w:rsidR="00FF3285" w:rsidRPr="00873527">
        <w:t>edited by Nick Merriman</w:t>
      </w:r>
      <w:r w:rsidRPr="00873527">
        <w:t>, pp. 224-239.</w:t>
      </w:r>
      <w:proofErr w:type="gramEnd"/>
      <w:r w:rsidRPr="00873527">
        <w:t xml:space="preserve">  London: Routledge.</w:t>
      </w:r>
    </w:p>
    <w:p w:rsidR="00A25315" w:rsidRPr="00873527" w:rsidRDefault="00A25315" w:rsidP="00A25315"/>
    <w:p w:rsidR="00A25315" w:rsidRPr="00873527" w:rsidRDefault="00A25315" w:rsidP="00A25315">
      <w:pPr>
        <w:rPr>
          <w:rFonts w:ascii="Times" w:hAnsi="Times"/>
        </w:rPr>
      </w:pPr>
      <w:r w:rsidRPr="00873527">
        <w:rPr>
          <w:rFonts w:ascii="Times" w:hAnsi="Times"/>
        </w:rPr>
        <w:t xml:space="preserve">Atalay, Sonya (2006) Indigenous Archaeology as Decolonizing Practice.  </w:t>
      </w:r>
      <w:r w:rsidRPr="00873527">
        <w:rPr>
          <w:rFonts w:ascii="Times" w:hAnsi="Times"/>
          <w:i/>
        </w:rPr>
        <w:t>American Indian Quarterly</w:t>
      </w:r>
      <w:r w:rsidRPr="00873527">
        <w:rPr>
          <w:rFonts w:ascii="Times" w:hAnsi="Times"/>
        </w:rPr>
        <w:t xml:space="preserve"> 30(3 &amp; 4):280-310.</w:t>
      </w:r>
    </w:p>
    <w:p w:rsidR="00A25315" w:rsidRPr="00873527" w:rsidRDefault="00A25315" w:rsidP="00A25315">
      <w:pPr>
        <w:rPr>
          <w:rFonts w:ascii="Times" w:hAnsi="Times"/>
        </w:rPr>
      </w:pPr>
    </w:p>
    <w:p w:rsidR="00A25315" w:rsidRPr="00873527" w:rsidRDefault="00A25315" w:rsidP="00A25315">
      <w:pPr>
        <w:rPr>
          <w:rFonts w:ascii="Times" w:hAnsi="Times"/>
        </w:rPr>
      </w:pPr>
      <w:r w:rsidRPr="00873527">
        <w:rPr>
          <w:rFonts w:ascii="Times" w:hAnsi="Times"/>
        </w:rPr>
        <w:t xml:space="preserve">McGhee, Robert (2008) Aboriginalism and the Problems of Indigenous Archaeology. </w:t>
      </w:r>
      <w:r w:rsidRPr="00873527">
        <w:rPr>
          <w:rFonts w:ascii="Times" w:hAnsi="Times"/>
          <w:i/>
        </w:rPr>
        <w:t xml:space="preserve">American Antiquity </w:t>
      </w:r>
      <w:r w:rsidRPr="00873527">
        <w:rPr>
          <w:rFonts w:ascii="Times" w:hAnsi="Times"/>
        </w:rPr>
        <w:t>73(4):579-597.</w:t>
      </w:r>
    </w:p>
    <w:p w:rsidR="00F53B85" w:rsidRPr="00873527" w:rsidRDefault="00F53B85" w:rsidP="00A25315"/>
    <w:p w:rsidR="009837FE" w:rsidRDefault="00424817" w:rsidP="00A25315">
      <w:proofErr w:type="gramStart"/>
      <w:r w:rsidRPr="00873527">
        <w:t>Atalay</w:t>
      </w:r>
      <w:r w:rsidR="00F53B85" w:rsidRPr="00873527">
        <w:t>, Sonya (2012) A Sustainable Archaeology (Chp 1) and Origins of Community-Based Research in Archaeology (Chp 2).</w:t>
      </w:r>
      <w:proofErr w:type="gramEnd"/>
      <w:r w:rsidR="00F53B85" w:rsidRPr="00873527">
        <w:t xml:space="preserve"> In </w:t>
      </w:r>
      <w:r w:rsidR="00F53B85" w:rsidRPr="00873527">
        <w:rPr>
          <w:i/>
        </w:rPr>
        <w:t>Community-Based Archaeology: Research with, by, and for Indigenous and Local Communities</w:t>
      </w:r>
      <w:r w:rsidR="00F53B85" w:rsidRPr="00873527">
        <w:t>, pp. 1-54. Berkeley: University of California Press.</w:t>
      </w:r>
    </w:p>
    <w:p w:rsidR="00047A58" w:rsidRDefault="00047A58" w:rsidP="00A25315"/>
    <w:p w:rsidR="00047A58" w:rsidRPr="00047A58" w:rsidRDefault="00047A58" w:rsidP="00047A58">
      <w:proofErr w:type="spellStart"/>
      <w:r>
        <w:t>Zorzin</w:t>
      </w:r>
      <w:proofErr w:type="spellEnd"/>
      <w:r>
        <w:t>, Nicholas (2014) Heritage Management and Aboriginal Australians: Relations in a Global, Neoliberal Economy—</w:t>
      </w:r>
      <w:proofErr w:type="gramStart"/>
      <w:r>
        <w:t>A</w:t>
      </w:r>
      <w:proofErr w:type="gramEnd"/>
      <w:r>
        <w:t xml:space="preserve"> Contemporary Case Study from Victoria. </w:t>
      </w:r>
      <w:r>
        <w:rPr>
          <w:i/>
        </w:rPr>
        <w:t>Archaeologies</w:t>
      </w:r>
      <w:r>
        <w:t xml:space="preserve"> 10(2):132-167.</w:t>
      </w:r>
    </w:p>
    <w:p w:rsidR="009837FE" w:rsidRDefault="006A3FB7" w:rsidP="00A25315">
      <w:r>
        <w:rPr>
          <w:rFonts w:ascii="Times" w:hAnsi="Times"/>
          <w:b/>
        </w:rPr>
        <w:pict>
          <v:rect id="_x0000_i1035" style="width:0;height:1.5pt" o:hralign="center" o:hrstd="t" o:hr="t" fillcolor="#aaa" stroked="f"/>
        </w:pict>
      </w:r>
    </w:p>
    <w:p w:rsidR="009837FE" w:rsidRPr="00873527" w:rsidRDefault="009837FE" w:rsidP="009837FE">
      <w:pPr>
        <w:rPr>
          <w:rFonts w:ascii="Times" w:hAnsi="Times"/>
          <w:bCs/>
        </w:rPr>
      </w:pPr>
      <w:r>
        <w:rPr>
          <w:rFonts w:ascii="Times" w:hAnsi="Times"/>
          <w:b/>
          <w:bCs/>
        </w:rPr>
        <w:t>November 19</w:t>
      </w:r>
      <w:r w:rsidRPr="00873527">
        <w:rPr>
          <w:rFonts w:ascii="Times" w:hAnsi="Times"/>
          <w:b/>
          <w:bCs/>
        </w:rPr>
        <w:t xml:space="preserve"> – Social Memory &amp; the Politics of Archaeology </w:t>
      </w:r>
    </w:p>
    <w:p w:rsidR="009837FE" w:rsidRPr="00873527" w:rsidRDefault="009837FE" w:rsidP="009837FE">
      <w:pPr>
        <w:rPr>
          <w:rFonts w:ascii="Times" w:hAnsi="Times"/>
          <w:bCs/>
        </w:rPr>
      </w:pPr>
    </w:p>
    <w:p w:rsidR="00D863C5" w:rsidRDefault="00D863C5" w:rsidP="009837FE">
      <w:r>
        <w:t>Johnson, Chapter 12</w:t>
      </w:r>
    </w:p>
    <w:p w:rsidR="00D863C5" w:rsidRDefault="00D863C5" w:rsidP="009837FE"/>
    <w:p w:rsidR="009837FE" w:rsidRPr="00873527" w:rsidRDefault="009837FE" w:rsidP="009837FE">
      <w:proofErr w:type="spellStart"/>
      <w:proofErr w:type="gramStart"/>
      <w:r w:rsidRPr="00873527">
        <w:t>Bernbeck</w:t>
      </w:r>
      <w:proofErr w:type="spellEnd"/>
      <w:r w:rsidRPr="00873527">
        <w:t xml:space="preserve">, </w:t>
      </w:r>
      <w:proofErr w:type="spellStart"/>
      <w:r w:rsidRPr="00873527">
        <w:t>Reinhard</w:t>
      </w:r>
      <w:proofErr w:type="spellEnd"/>
      <w:r w:rsidRPr="00873527">
        <w:t xml:space="preserve"> and Susan Pollock (2007) ’</w:t>
      </w:r>
      <w:proofErr w:type="spellStart"/>
      <w:r w:rsidRPr="00873527">
        <w:t>Grabe</w:t>
      </w:r>
      <w:proofErr w:type="spellEnd"/>
      <w:r w:rsidRPr="00873527">
        <w:t xml:space="preserve"> wo Du </w:t>
      </w:r>
      <w:proofErr w:type="spellStart"/>
      <w:r w:rsidRPr="00873527">
        <w:t>stehst</w:t>
      </w:r>
      <w:proofErr w:type="spellEnd"/>
      <w:r w:rsidRPr="00873527">
        <w:t>!’</w:t>
      </w:r>
      <w:proofErr w:type="gramEnd"/>
      <w:r w:rsidRPr="00873527">
        <w:t xml:space="preserve"> </w:t>
      </w:r>
      <w:proofErr w:type="gramStart"/>
      <w:r w:rsidRPr="00873527">
        <w:t>An Archaeology</w:t>
      </w:r>
      <w:proofErr w:type="gramEnd"/>
      <w:r w:rsidRPr="00873527">
        <w:t xml:space="preserve"> of Perpetrators. In </w:t>
      </w:r>
      <w:r w:rsidRPr="00873527">
        <w:rPr>
          <w:i/>
        </w:rPr>
        <w:t>Archaeology and Capitalism: From Ethics to Politics</w:t>
      </w:r>
      <w:r w:rsidRPr="00873527">
        <w:t xml:space="preserve">, edited by </w:t>
      </w:r>
      <w:proofErr w:type="spellStart"/>
      <w:r w:rsidRPr="00873527">
        <w:t>Yannis</w:t>
      </w:r>
      <w:proofErr w:type="spellEnd"/>
      <w:r w:rsidRPr="00873527">
        <w:t xml:space="preserve"> </w:t>
      </w:r>
      <w:proofErr w:type="spellStart"/>
      <w:r w:rsidRPr="00873527">
        <w:t>Hamilakis</w:t>
      </w:r>
      <w:proofErr w:type="spellEnd"/>
      <w:r w:rsidRPr="00873527">
        <w:t xml:space="preserve"> and Philip Duke, pp. 217-234. Walnut Creek: Left Coast Press.   </w:t>
      </w:r>
    </w:p>
    <w:p w:rsidR="009837FE" w:rsidRPr="00873527" w:rsidRDefault="009837FE" w:rsidP="009837FE"/>
    <w:p w:rsidR="009837FE" w:rsidRPr="00873527" w:rsidRDefault="009837FE" w:rsidP="009837FE">
      <w:pPr>
        <w:tabs>
          <w:tab w:val="left" w:pos="720"/>
          <w:tab w:val="left" w:pos="1440"/>
          <w:tab w:val="left" w:pos="6300"/>
        </w:tabs>
      </w:pPr>
      <w:proofErr w:type="spellStart"/>
      <w:r w:rsidRPr="00873527">
        <w:t>Gassiot</w:t>
      </w:r>
      <w:proofErr w:type="spellEnd"/>
      <w:r w:rsidRPr="00873527">
        <w:t xml:space="preserve"> </w:t>
      </w:r>
      <w:proofErr w:type="spellStart"/>
      <w:r w:rsidRPr="00873527">
        <w:t>Ballbé</w:t>
      </w:r>
      <w:proofErr w:type="spellEnd"/>
      <w:r w:rsidRPr="00873527">
        <w:t xml:space="preserve">, </w:t>
      </w:r>
      <w:proofErr w:type="spellStart"/>
      <w:r w:rsidRPr="00873527">
        <w:t>Ermengol</w:t>
      </w:r>
      <w:proofErr w:type="spellEnd"/>
      <w:r w:rsidRPr="00873527">
        <w:t xml:space="preserve"> and </w:t>
      </w:r>
      <w:proofErr w:type="spellStart"/>
      <w:r w:rsidRPr="00873527">
        <w:t>Dawnie</w:t>
      </w:r>
      <w:proofErr w:type="spellEnd"/>
      <w:r w:rsidRPr="00873527">
        <w:t xml:space="preserve"> Wolfe Steadman (2008) The Political, Social and Scientific Contexts of Archaeological Investigations of Mass Graves in Spain.  </w:t>
      </w:r>
      <w:r w:rsidRPr="00873527">
        <w:rPr>
          <w:i/>
        </w:rPr>
        <w:t>Archaeologies</w:t>
      </w:r>
      <w:r w:rsidRPr="00873527">
        <w:t xml:space="preserve"> 4(3):429-444.</w:t>
      </w:r>
    </w:p>
    <w:p w:rsidR="009837FE" w:rsidRPr="00873527" w:rsidRDefault="009837FE" w:rsidP="009837FE">
      <w:pPr>
        <w:rPr>
          <w:rFonts w:ascii="Times" w:hAnsi="Times"/>
          <w:bCs/>
        </w:rPr>
      </w:pPr>
    </w:p>
    <w:p w:rsidR="009837FE" w:rsidRPr="00873527" w:rsidRDefault="009837FE" w:rsidP="009837FE">
      <w:pPr>
        <w:rPr>
          <w:rFonts w:ascii="Times" w:hAnsi="Times"/>
        </w:rPr>
      </w:pPr>
      <w:proofErr w:type="spellStart"/>
      <w:r w:rsidRPr="00873527">
        <w:rPr>
          <w:rFonts w:ascii="Times" w:hAnsi="Times"/>
        </w:rPr>
        <w:t>Alcock</w:t>
      </w:r>
      <w:proofErr w:type="spellEnd"/>
      <w:r w:rsidRPr="00873527">
        <w:rPr>
          <w:rFonts w:ascii="Times" w:hAnsi="Times"/>
        </w:rPr>
        <w:t>, Susan E. (2002</w:t>
      </w:r>
      <w:proofErr w:type="gramStart"/>
      <w:r w:rsidRPr="00873527">
        <w:rPr>
          <w:rFonts w:ascii="Times" w:hAnsi="Times"/>
        </w:rPr>
        <w:t>)  Archaeologies</w:t>
      </w:r>
      <w:proofErr w:type="gramEnd"/>
      <w:r w:rsidRPr="00873527">
        <w:rPr>
          <w:rFonts w:ascii="Times" w:hAnsi="Times"/>
        </w:rPr>
        <w:t xml:space="preserve"> of Memory.  Chapter 1 in </w:t>
      </w:r>
      <w:r w:rsidRPr="00873527">
        <w:rPr>
          <w:rFonts w:ascii="Times" w:hAnsi="Times"/>
          <w:i/>
        </w:rPr>
        <w:t>Archaeologies of the Greek Past:  Landscapes, Monuments, and Memories</w:t>
      </w:r>
      <w:r w:rsidRPr="00873527">
        <w:rPr>
          <w:rFonts w:ascii="Times" w:hAnsi="Times"/>
        </w:rPr>
        <w:t xml:space="preserve">, pp. 1-35.  Cambridge: Cambridge University Press.  </w:t>
      </w:r>
    </w:p>
    <w:p w:rsidR="009837FE" w:rsidRPr="00873527" w:rsidRDefault="009837FE" w:rsidP="009837FE">
      <w:pPr>
        <w:rPr>
          <w:rFonts w:ascii="Times" w:hAnsi="Times"/>
        </w:rPr>
      </w:pPr>
    </w:p>
    <w:p w:rsidR="009837FE" w:rsidRPr="00873527" w:rsidRDefault="009837FE" w:rsidP="009837FE">
      <w:pPr>
        <w:rPr>
          <w:rFonts w:ascii="Times" w:hAnsi="Times"/>
        </w:rPr>
      </w:pPr>
      <w:proofErr w:type="spellStart"/>
      <w:r w:rsidRPr="00873527">
        <w:rPr>
          <w:rFonts w:ascii="Times" w:hAnsi="Times"/>
        </w:rPr>
        <w:lastRenderedPageBreak/>
        <w:t>Collwell</w:t>
      </w:r>
      <w:proofErr w:type="spellEnd"/>
      <w:r w:rsidRPr="00873527">
        <w:rPr>
          <w:rFonts w:ascii="Times" w:hAnsi="Times"/>
        </w:rPr>
        <w:t>-Chanthaphonh, Chip and T.J. Ferguson (2006</w:t>
      </w:r>
      <w:proofErr w:type="gramStart"/>
      <w:r w:rsidRPr="00873527">
        <w:rPr>
          <w:rFonts w:ascii="Times" w:hAnsi="Times"/>
        </w:rPr>
        <w:t>)  Memory</w:t>
      </w:r>
      <w:proofErr w:type="gramEnd"/>
      <w:r w:rsidRPr="00873527">
        <w:rPr>
          <w:rFonts w:ascii="Times" w:hAnsi="Times"/>
        </w:rPr>
        <w:t xml:space="preserve"> Pieces and Footprints: Multivocality and the Meanings of Ancient Times and Ancestral Places Among the Zuni and Hopi. </w:t>
      </w:r>
      <w:r w:rsidRPr="00873527">
        <w:rPr>
          <w:rFonts w:ascii="Times" w:hAnsi="Times"/>
          <w:i/>
          <w:iCs/>
        </w:rPr>
        <w:t>American Anthropologist</w:t>
      </w:r>
      <w:r w:rsidRPr="00873527">
        <w:rPr>
          <w:rFonts w:ascii="Times" w:hAnsi="Times"/>
        </w:rPr>
        <w:t xml:space="preserve"> 108(1):148-162.</w:t>
      </w:r>
    </w:p>
    <w:p w:rsidR="009837FE" w:rsidRPr="00873527" w:rsidRDefault="009837FE" w:rsidP="009837FE">
      <w:pPr>
        <w:pStyle w:val="Blockquote"/>
        <w:tabs>
          <w:tab w:val="clear" w:pos="360"/>
        </w:tabs>
        <w:ind w:left="0" w:right="0"/>
      </w:pPr>
    </w:p>
    <w:p w:rsidR="009837FE" w:rsidRPr="00873527" w:rsidRDefault="009837FE" w:rsidP="009837FE">
      <w:pPr>
        <w:rPr>
          <w:noProof/>
        </w:rPr>
      </w:pPr>
      <w:r w:rsidRPr="00873527">
        <w:rPr>
          <w:noProof/>
        </w:rPr>
        <w:t xml:space="preserve">Franklin, M. (1997). "Power to the People": Sociopolitics and the Archaeology of Black Americans. </w:t>
      </w:r>
      <w:r w:rsidRPr="00873527">
        <w:rPr>
          <w:i/>
          <w:noProof/>
        </w:rPr>
        <w:t>Historical Archaeology</w:t>
      </w:r>
      <w:r w:rsidRPr="00873527">
        <w:rPr>
          <w:noProof/>
        </w:rPr>
        <w:t xml:space="preserve"> 31(3): 36-50.</w:t>
      </w:r>
    </w:p>
    <w:p w:rsidR="009837FE" w:rsidRPr="00873527" w:rsidRDefault="009837FE" w:rsidP="009837FE">
      <w:pPr>
        <w:rPr>
          <w:rFonts w:ascii="Times" w:hAnsi="Times"/>
          <w:b/>
          <w:bCs/>
        </w:rPr>
      </w:pPr>
    </w:p>
    <w:p w:rsidR="009837FE" w:rsidRPr="00873527" w:rsidRDefault="009837FE" w:rsidP="009837FE">
      <w:r w:rsidRPr="00873527">
        <w:rPr>
          <w:rFonts w:ascii="Times" w:hAnsi="Times"/>
          <w:bCs/>
        </w:rPr>
        <w:t>Van Dyke, Ruth M. (2011)</w:t>
      </w:r>
      <w:r w:rsidRPr="00873527">
        <w:t xml:space="preserve"> Ideology and Social Memory.  </w:t>
      </w:r>
      <w:proofErr w:type="gramStart"/>
      <w:r w:rsidRPr="00873527">
        <w:t xml:space="preserve">In </w:t>
      </w:r>
      <w:r w:rsidRPr="00873527">
        <w:rPr>
          <w:i/>
        </w:rPr>
        <w:t>Ideologies in Archaeology</w:t>
      </w:r>
      <w:r w:rsidRPr="00873527">
        <w:t xml:space="preserve">, edited by </w:t>
      </w:r>
      <w:proofErr w:type="spellStart"/>
      <w:r w:rsidRPr="00873527">
        <w:t>Reinhard</w:t>
      </w:r>
      <w:proofErr w:type="spellEnd"/>
      <w:r w:rsidRPr="00873527">
        <w:t xml:space="preserve"> </w:t>
      </w:r>
      <w:proofErr w:type="spellStart"/>
      <w:r w:rsidRPr="00873527">
        <w:t>Bernbeck</w:t>
      </w:r>
      <w:proofErr w:type="spellEnd"/>
      <w:r w:rsidRPr="00873527">
        <w:t xml:space="preserve"> and Randall H. McGuire, pp. 233-253.</w:t>
      </w:r>
      <w:proofErr w:type="gramEnd"/>
      <w:r w:rsidRPr="00873527">
        <w:t xml:space="preserve">  Tucson: University of Arizona Press.</w:t>
      </w:r>
    </w:p>
    <w:p w:rsidR="009837FE" w:rsidRPr="00873527" w:rsidRDefault="006A3FB7" w:rsidP="009837FE">
      <w:r>
        <w:rPr>
          <w:rFonts w:ascii="Times" w:hAnsi="Times"/>
          <w:b/>
        </w:rPr>
        <w:pict>
          <v:rect id="_x0000_i1036" style="width:0;height:1.5pt" o:hralign="center" o:hrstd="t" o:hr="t" fillcolor="#aaa" stroked="f"/>
        </w:pict>
      </w:r>
    </w:p>
    <w:p w:rsidR="00A25315" w:rsidRPr="00873527" w:rsidRDefault="00A25315">
      <w:pPr>
        <w:rPr>
          <w:rFonts w:ascii="Times" w:hAnsi="Times"/>
          <w:b/>
          <w:bCs/>
        </w:rPr>
      </w:pPr>
    </w:p>
    <w:p w:rsidR="00647A0F" w:rsidRPr="00873527" w:rsidRDefault="00647A0F" w:rsidP="003E71C8">
      <w:pPr>
        <w:rPr>
          <w:rFonts w:ascii="Times" w:hAnsi="Times"/>
          <w:b/>
          <w:bCs/>
        </w:rPr>
      </w:pPr>
      <w:r w:rsidRPr="00873527">
        <w:rPr>
          <w:rFonts w:ascii="Times" w:hAnsi="Times"/>
          <w:b/>
          <w:bCs/>
        </w:rPr>
        <w:t>Research Design Due November 26 by noon</w:t>
      </w:r>
    </w:p>
    <w:p w:rsidR="00647A0F" w:rsidRPr="00873527" w:rsidRDefault="00647A0F" w:rsidP="003E71C8">
      <w:pPr>
        <w:rPr>
          <w:rFonts w:ascii="Times" w:hAnsi="Times"/>
          <w:b/>
          <w:bCs/>
        </w:rPr>
      </w:pPr>
    </w:p>
    <w:p w:rsidR="009837FE" w:rsidRPr="00873527" w:rsidRDefault="003E71C8" w:rsidP="009837FE">
      <w:pPr>
        <w:rPr>
          <w:rFonts w:ascii="Times" w:hAnsi="Times"/>
          <w:bCs/>
        </w:rPr>
      </w:pPr>
      <w:r w:rsidRPr="00873527">
        <w:rPr>
          <w:rFonts w:ascii="Times" w:hAnsi="Times"/>
          <w:b/>
          <w:bCs/>
        </w:rPr>
        <w:t>Nov</w:t>
      </w:r>
      <w:r w:rsidR="0020714B" w:rsidRPr="00873527">
        <w:rPr>
          <w:rFonts w:ascii="Times" w:hAnsi="Times"/>
          <w:b/>
          <w:bCs/>
        </w:rPr>
        <w:t>ember</w:t>
      </w:r>
      <w:r w:rsidRPr="00873527">
        <w:rPr>
          <w:rFonts w:ascii="Times" w:hAnsi="Times"/>
          <w:b/>
          <w:bCs/>
        </w:rPr>
        <w:t xml:space="preserve"> 2</w:t>
      </w:r>
      <w:r w:rsidR="00B140AB" w:rsidRPr="00873527">
        <w:rPr>
          <w:rFonts w:ascii="Times" w:hAnsi="Times"/>
          <w:b/>
          <w:bCs/>
        </w:rPr>
        <w:t>6</w:t>
      </w:r>
      <w:r w:rsidRPr="00873527">
        <w:rPr>
          <w:rFonts w:ascii="Times" w:hAnsi="Times"/>
          <w:b/>
          <w:bCs/>
        </w:rPr>
        <w:t xml:space="preserve">: </w:t>
      </w:r>
      <w:r w:rsidR="00B140AB" w:rsidRPr="00873527">
        <w:rPr>
          <w:rFonts w:ascii="Times" w:hAnsi="Times"/>
          <w:b/>
          <w:bCs/>
        </w:rPr>
        <w:t xml:space="preserve">- </w:t>
      </w:r>
      <w:r w:rsidR="009837FE" w:rsidRPr="00873527">
        <w:rPr>
          <w:rFonts w:ascii="Times" w:hAnsi="Times"/>
          <w:b/>
        </w:rPr>
        <w:t xml:space="preserve">Representations of Archaeology </w:t>
      </w:r>
    </w:p>
    <w:p w:rsidR="009837FE" w:rsidRPr="00873527" w:rsidRDefault="009837FE" w:rsidP="009837FE">
      <w:pPr>
        <w:rPr>
          <w:rFonts w:ascii="Times" w:hAnsi="Times"/>
        </w:rPr>
      </w:pPr>
    </w:p>
    <w:p w:rsidR="00D863C5" w:rsidRDefault="009837FE" w:rsidP="009837FE">
      <w:pPr>
        <w:tabs>
          <w:tab w:val="left" w:pos="-720"/>
        </w:tabs>
        <w:suppressAutoHyphens/>
        <w:rPr>
          <w:rFonts w:ascii="Times" w:hAnsi="Times"/>
        </w:rPr>
      </w:pPr>
      <w:r w:rsidRPr="00873527">
        <w:rPr>
          <w:rFonts w:ascii="Times" w:hAnsi="Times"/>
        </w:rPr>
        <w:t>Trigger, Chapter 10</w:t>
      </w:r>
    </w:p>
    <w:p w:rsidR="00D863C5" w:rsidRPr="00873527" w:rsidRDefault="00D863C5" w:rsidP="009837FE">
      <w:pPr>
        <w:tabs>
          <w:tab w:val="left" w:pos="-720"/>
        </w:tabs>
        <w:suppressAutoHyphens/>
        <w:rPr>
          <w:rFonts w:ascii="Times" w:hAnsi="Times"/>
        </w:rPr>
      </w:pPr>
      <w:r>
        <w:rPr>
          <w:rFonts w:ascii="Times" w:hAnsi="Times"/>
        </w:rPr>
        <w:t>Johnson, Chapter 13</w:t>
      </w:r>
    </w:p>
    <w:p w:rsidR="009837FE" w:rsidRPr="00873527" w:rsidRDefault="009837FE" w:rsidP="009837FE">
      <w:pPr>
        <w:tabs>
          <w:tab w:val="left" w:pos="-720"/>
        </w:tabs>
        <w:suppressAutoHyphens/>
        <w:rPr>
          <w:rFonts w:ascii="Times" w:hAnsi="Times"/>
        </w:rPr>
      </w:pPr>
    </w:p>
    <w:p w:rsidR="009837FE" w:rsidRPr="00873527" w:rsidRDefault="009837FE" w:rsidP="009837FE">
      <w:pPr>
        <w:tabs>
          <w:tab w:val="left" w:pos="-720"/>
        </w:tabs>
        <w:suppressAutoHyphens/>
        <w:rPr>
          <w:rFonts w:ascii="Times" w:hAnsi="Times"/>
          <w:spacing w:val="-2"/>
        </w:rPr>
      </w:pPr>
      <w:r w:rsidRPr="00873527">
        <w:rPr>
          <w:rFonts w:ascii="Times" w:hAnsi="Times"/>
        </w:rPr>
        <w:t xml:space="preserve">Moser, Stephanie (1998) </w:t>
      </w:r>
      <w:proofErr w:type="gramStart"/>
      <w:r w:rsidRPr="00873527">
        <w:rPr>
          <w:rFonts w:ascii="Times" w:hAnsi="Times"/>
          <w:i/>
        </w:rPr>
        <w:t>The</w:t>
      </w:r>
      <w:proofErr w:type="gramEnd"/>
      <w:r w:rsidRPr="00873527">
        <w:rPr>
          <w:rFonts w:ascii="Times" w:hAnsi="Times"/>
          <w:i/>
        </w:rPr>
        <w:t xml:space="preserve"> Scientific Vision of Prehistory in Ancestral Images</w:t>
      </w:r>
      <w:r w:rsidRPr="00873527">
        <w:rPr>
          <w:rFonts w:ascii="Times" w:hAnsi="Times"/>
        </w:rPr>
        <w:t xml:space="preserve">, pp. 107-145.  </w:t>
      </w:r>
      <w:proofErr w:type="spellStart"/>
      <w:r w:rsidRPr="00873527">
        <w:rPr>
          <w:rFonts w:ascii="Times" w:hAnsi="Times"/>
          <w:lang w:val="es-ES"/>
        </w:rPr>
        <w:t>Ithaca</w:t>
      </w:r>
      <w:proofErr w:type="spellEnd"/>
      <w:r w:rsidRPr="00873527">
        <w:rPr>
          <w:rFonts w:ascii="Times" w:hAnsi="Times"/>
          <w:lang w:val="es-ES"/>
        </w:rPr>
        <w:t xml:space="preserve">: </w:t>
      </w:r>
      <w:proofErr w:type="spellStart"/>
      <w:r w:rsidRPr="00873527">
        <w:rPr>
          <w:rFonts w:ascii="Times" w:hAnsi="Times"/>
          <w:lang w:val="es-ES"/>
        </w:rPr>
        <w:t>Cornell</w:t>
      </w:r>
      <w:proofErr w:type="spellEnd"/>
      <w:r w:rsidRPr="00873527">
        <w:rPr>
          <w:rFonts w:ascii="Times" w:hAnsi="Times"/>
          <w:lang w:val="es-ES"/>
        </w:rPr>
        <w:t xml:space="preserve"> </w:t>
      </w:r>
      <w:proofErr w:type="spellStart"/>
      <w:r w:rsidRPr="00873527">
        <w:rPr>
          <w:rFonts w:ascii="Times" w:hAnsi="Times"/>
          <w:lang w:val="es-ES"/>
        </w:rPr>
        <w:t>University</w:t>
      </w:r>
      <w:proofErr w:type="spellEnd"/>
      <w:r w:rsidRPr="00873527">
        <w:rPr>
          <w:rFonts w:ascii="Times" w:hAnsi="Times"/>
          <w:lang w:val="es-ES"/>
        </w:rPr>
        <w:t xml:space="preserve"> </w:t>
      </w:r>
      <w:proofErr w:type="spellStart"/>
      <w:r w:rsidRPr="00873527">
        <w:rPr>
          <w:rFonts w:ascii="Times" w:hAnsi="Times"/>
          <w:lang w:val="es-ES"/>
        </w:rPr>
        <w:t>Press</w:t>
      </w:r>
      <w:proofErr w:type="spellEnd"/>
      <w:r w:rsidRPr="00873527">
        <w:rPr>
          <w:rFonts w:ascii="Times" w:hAnsi="Times"/>
          <w:lang w:val="es-ES"/>
        </w:rPr>
        <w:t>.</w:t>
      </w:r>
    </w:p>
    <w:p w:rsidR="009837FE" w:rsidRPr="00873527" w:rsidRDefault="006A3FB7" w:rsidP="009837FE">
      <w:pPr>
        <w:rPr>
          <w:rFonts w:ascii="Times" w:hAnsi="Times"/>
          <w:b/>
          <w:bCs/>
        </w:rPr>
      </w:pPr>
      <w:r>
        <w:rPr>
          <w:rFonts w:ascii="Times" w:hAnsi="Times"/>
          <w:b/>
        </w:rPr>
        <w:pict>
          <v:rect id="_x0000_i1037" style="width:0;height:1.5pt" o:hralign="center" o:hrstd="t" o:hr="t" fillcolor="#aaa" stroked="f"/>
        </w:pict>
      </w:r>
    </w:p>
    <w:p w:rsidR="009837FE" w:rsidRPr="003C5808" w:rsidRDefault="009837FE" w:rsidP="009837FE">
      <w:pPr>
        <w:rPr>
          <w:rFonts w:ascii="Times" w:hAnsi="Times"/>
          <w:b/>
        </w:rPr>
      </w:pPr>
      <w:r>
        <w:rPr>
          <w:b/>
          <w:bCs/>
        </w:rPr>
        <w:t xml:space="preserve">December 3 - </w:t>
      </w:r>
      <w:r w:rsidRPr="003C5808">
        <w:rPr>
          <w:rFonts w:ascii="Times" w:hAnsi="Times"/>
          <w:b/>
        </w:rPr>
        <w:t xml:space="preserve">Feminisms </w:t>
      </w:r>
      <w:r>
        <w:rPr>
          <w:rFonts w:ascii="Times" w:hAnsi="Times"/>
          <w:b/>
        </w:rPr>
        <w:t xml:space="preserve">and Sexualities (Kathleen Sterling) </w:t>
      </w:r>
      <w:r w:rsidRPr="00F87041">
        <w:rPr>
          <w:rFonts w:ascii="Times" w:hAnsi="Times"/>
          <w:color w:val="FFFFFF"/>
        </w:rPr>
        <w:t>(Kathleen)</w:t>
      </w:r>
    </w:p>
    <w:p w:rsidR="009837FE" w:rsidRDefault="009837FE" w:rsidP="009837FE">
      <w:pPr>
        <w:jc w:val="both"/>
        <w:rPr>
          <w:rFonts w:ascii="Times" w:hAnsi="Times"/>
        </w:rPr>
      </w:pPr>
    </w:p>
    <w:p w:rsidR="00A81E2F" w:rsidRDefault="00A81E2F" w:rsidP="009837FE">
      <w:pPr>
        <w:jc w:val="both"/>
        <w:rPr>
          <w:rFonts w:ascii="Times" w:hAnsi="Times"/>
        </w:rPr>
      </w:pPr>
      <w:r>
        <w:rPr>
          <w:rFonts w:ascii="Times" w:hAnsi="Times"/>
        </w:rPr>
        <w:t>Johnson, Chapter 8</w:t>
      </w:r>
    </w:p>
    <w:p w:rsidR="00A81E2F" w:rsidRDefault="00A81E2F" w:rsidP="009837FE">
      <w:pPr>
        <w:jc w:val="both"/>
        <w:rPr>
          <w:rFonts w:ascii="Times" w:hAnsi="Times"/>
        </w:rPr>
      </w:pPr>
    </w:p>
    <w:p w:rsidR="009837FE" w:rsidRPr="003C5808" w:rsidRDefault="009837FE" w:rsidP="009837FE">
      <w:pPr>
        <w:jc w:val="both"/>
        <w:rPr>
          <w:rFonts w:ascii="Times" w:hAnsi="Times"/>
        </w:rPr>
      </w:pPr>
      <w:r w:rsidRPr="003C5808">
        <w:rPr>
          <w:rFonts w:ascii="Times" w:hAnsi="Times"/>
        </w:rPr>
        <w:t xml:space="preserve">Conkey, Margaret W. and Joan M. Gero (1997) </w:t>
      </w:r>
      <w:proofErr w:type="spellStart"/>
      <w:r w:rsidRPr="003C5808">
        <w:rPr>
          <w:rFonts w:ascii="Times" w:hAnsi="Times"/>
        </w:rPr>
        <w:t>Programme</w:t>
      </w:r>
      <w:proofErr w:type="spellEnd"/>
      <w:r w:rsidRPr="003C5808">
        <w:rPr>
          <w:rFonts w:ascii="Times" w:hAnsi="Times"/>
        </w:rPr>
        <w:t xml:space="preserve"> to Practice: Gender and Feminism in Archaeology. </w:t>
      </w:r>
      <w:r w:rsidRPr="003C5808">
        <w:rPr>
          <w:rFonts w:ascii="Times" w:hAnsi="Times"/>
          <w:i/>
        </w:rPr>
        <w:t>Annual Review of Anthropology</w:t>
      </w:r>
      <w:r w:rsidRPr="003C5808">
        <w:rPr>
          <w:rFonts w:ascii="Times" w:hAnsi="Times"/>
        </w:rPr>
        <w:t xml:space="preserve"> 26: 411-437.  </w:t>
      </w:r>
    </w:p>
    <w:p w:rsidR="009837FE" w:rsidRPr="003C5808" w:rsidRDefault="009837FE" w:rsidP="009837FE">
      <w:pPr>
        <w:rPr>
          <w:rFonts w:ascii="Times" w:hAnsi="Times"/>
        </w:rPr>
      </w:pPr>
    </w:p>
    <w:p w:rsidR="009837FE" w:rsidRPr="00E54251" w:rsidRDefault="009837FE" w:rsidP="009837FE">
      <w:pPr>
        <w:rPr>
          <w:rFonts w:ascii="Times" w:hAnsi="Times"/>
        </w:rPr>
      </w:pPr>
      <w:r w:rsidRPr="00E54251">
        <w:rPr>
          <w:rFonts w:ascii="Times" w:hAnsi="Times"/>
        </w:rPr>
        <w:t xml:space="preserve">Pollock, </w:t>
      </w:r>
      <w:proofErr w:type="gramStart"/>
      <w:r w:rsidRPr="00E54251">
        <w:rPr>
          <w:rFonts w:ascii="Times" w:hAnsi="Times"/>
        </w:rPr>
        <w:t>Susan  (</w:t>
      </w:r>
      <w:proofErr w:type="gramEnd"/>
      <w:r w:rsidRPr="00E54251">
        <w:rPr>
          <w:rFonts w:ascii="Times" w:hAnsi="Times"/>
        </w:rPr>
        <w:t xml:space="preserve">1991) Women in a Men’s World: Images of Sumerian Women.  In </w:t>
      </w:r>
      <w:r w:rsidRPr="00E54251">
        <w:rPr>
          <w:rFonts w:ascii="Times" w:hAnsi="Times"/>
          <w:i/>
        </w:rPr>
        <w:t>Engendering Archaeology: Women and Prehistory</w:t>
      </w:r>
      <w:r w:rsidRPr="00E54251">
        <w:rPr>
          <w:rFonts w:ascii="Times" w:hAnsi="Times"/>
        </w:rPr>
        <w:t xml:space="preserve">, </w:t>
      </w:r>
      <w:r>
        <w:rPr>
          <w:rFonts w:ascii="Times" w:hAnsi="Times"/>
        </w:rPr>
        <w:t xml:space="preserve">edited by </w:t>
      </w:r>
      <w:r w:rsidRPr="00E54251">
        <w:rPr>
          <w:rFonts w:ascii="Times" w:hAnsi="Times"/>
        </w:rPr>
        <w:t>Joan</w:t>
      </w:r>
      <w:r>
        <w:rPr>
          <w:rFonts w:ascii="Times" w:hAnsi="Times"/>
        </w:rPr>
        <w:t xml:space="preserve"> Gero and Margaret Conkey</w:t>
      </w:r>
      <w:r w:rsidRPr="00E54251">
        <w:rPr>
          <w:rFonts w:ascii="Times" w:hAnsi="Times"/>
        </w:rPr>
        <w:t>, pp. 366-387. Oxford: Blackwell.</w:t>
      </w:r>
    </w:p>
    <w:p w:rsidR="009837FE" w:rsidRPr="005E381C" w:rsidRDefault="009837FE" w:rsidP="009837FE">
      <w:pPr>
        <w:rPr>
          <w:rFonts w:ascii="Times" w:hAnsi="Times"/>
          <w:highlight w:val="yellow"/>
        </w:rPr>
      </w:pPr>
    </w:p>
    <w:p w:rsidR="009837FE" w:rsidRPr="00E54251" w:rsidRDefault="009837FE" w:rsidP="009837FE">
      <w:pPr>
        <w:widowControl w:val="0"/>
        <w:autoSpaceDE w:val="0"/>
        <w:autoSpaceDN w:val="0"/>
        <w:adjustRightInd w:val="0"/>
        <w:rPr>
          <w:rFonts w:ascii="Times" w:hAnsi="Times" w:cs="Times-Roman"/>
          <w:lang w:bidi="en-US"/>
        </w:rPr>
      </w:pPr>
      <w:r w:rsidRPr="00E54251">
        <w:rPr>
          <w:rFonts w:ascii="Times" w:hAnsi="Times" w:cs="Times-Roman"/>
          <w:lang w:bidi="en-US"/>
        </w:rPr>
        <w:t xml:space="preserve">Joyce, Rosemary A. (2000) </w:t>
      </w:r>
      <w:proofErr w:type="gramStart"/>
      <w:r w:rsidRPr="00E54251">
        <w:rPr>
          <w:rFonts w:ascii="Times" w:hAnsi="Times" w:cs="Times-Roman"/>
          <w:lang w:bidi="en-US"/>
        </w:rPr>
        <w:t>A</w:t>
      </w:r>
      <w:proofErr w:type="gramEnd"/>
      <w:r w:rsidRPr="00E54251">
        <w:rPr>
          <w:rFonts w:ascii="Times" w:hAnsi="Times" w:cs="Times-Roman"/>
          <w:lang w:bidi="en-US"/>
        </w:rPr>
        <w:t xml:space="preserve"> </w:t>
      </w:r>
      <w:proofErr w:type="spellStart"/>
      <w:r w:rsidRPr="00E54251">
        <w:rPr>
          <w:rFonts w:ascii="Times" w:hAnsi="Times" w:cs="Times-Roman"/>
          <w:lang w:bidi="en-US"/>
        </w:rPr>
        <w:t>Precolumbian</w:t>
      </w:r>
      <w:proofErr w:type="spellEnd"/>
      <w:r w:rsidRPr="00E54251">
        <w:rPr>
          <w:rFonts w:ascii="Times" w:hAnsi="Times" w:cs="Times-Roman"/>
          <w:lang w:bidi="en-US"/>
        </w:rPr>
        <w:t xml:space="preserve"> Gaze: Male Sexuality Among the Ancient Maya. </w:t>
      </w:r>
      <w:proofErr w:type="gramStart"/>
      <w:r w:rsidRPr="00E54251">
        <w:rPr>
          <w:rFonts w:ascii="Times" w:hAnsi="Times" w:cs="Times-Roman"/>
          <w:lang w:bidi="en-US"/>
        </w:rPr>
        <w:t xml:space="preserve">In </w:t>
      </w:r>
      <w:r w:rsidRPr="00E54251">
        <w:rPr>
          <w:rFonts w:ascii="Times" w:hAnsi="Times" w:cs="Times-Roman"/>
          <w:i/>
          <w:iCs/>
          <w:lang w:bidi="en-US"/>
        </w:rPr>
        <w:t>Archaeologies of Sexuality</w:t>
      </w:r>
      <w:r w:rsidRPr="00E54251">
        <w:rPr>
          <w:rFonts w:ascii="Times" w:hAnsi="Times" w:cs="Times-Roman"/>
          <w:lang w:bidi="en-US"/>
        </w:rPr>
        <w:t>, edited by Robert A. Schmidt and Barbara L. Voss, pp. 263-283.</w:t>
      </w:r>
      <w:proofErr w:type="gramEnd"/>
      <w:r w:rsidRPr="00E54251">
        <w:rPr>
          <w:rFonts w:ascii="Times" w:hAnsi="Times" w:cs="Times-Roman"/>
          <w:lang w:bidi="en-US"/>
        </w:rPr>
        <w:t xml:space="preserve"> New York: Routledge.</w:t>
      </w:r>
    </w:p>
    <w:p w:rsidR="009837FE" w:rsidRPr="00E54251" w:rsidRDefault="009837FE" w:rsidP="009837FE">
      <w:pPr>
        <w:widowControl w:val="0"/>
        <w:autoSpaceDE w:val="0"/>
        <w:autoSpaceDN w:val="0"/>
        <w:adjustRightInd w:val="0"/>
        <w:rPr>
          <w:rFonts w:ascii="Times" w:hAnsi="Times" w:cs="Times-Roman"/>
          <w:lang w:bidi="en-US"/>
        </w:rPr>
      </w:pPr>
    </w:p>
    <w:p w:rsidR="009837FE" w:rsidRPr="00E54251" w:rsidRDefault="009837FE" w:rsidP="009837FE">
      <w:pPr>
        <w:widowControl w:val="0"/>
        <w:autoSpaceDE w:val="0"/>
        <w:autoSpaceDN w:val="0"/>
        <w:adjustRightInd w:val="0"/>
        <w:rPr>
          <w:rFonts w:ascii="Times" w:hAnsi="Times"/>
        </w:rPr>
      </w:pPr>
      <w:r w:rsidRPr="00E54251">
        <w:rPr>
          <w:rFonts w:ascii="Times" w:hAnsi="Times" w:cs="Times-Roman"/>
          <w:lang w:bidi="en-US"/>
        </w:rPr>
        <w:t xml:space="preserve">Rubin, Gayle (2000) Sites, Settlements, and Urban Sex: Archaeology and the Study of Gay Leatherman in San Francisco. </w:t>
      </w:r>
      <w:proofErr w:type="gramStart"/>
      <w:r w:rsidRPr="00E54251">
        <w:rPr>
          <w:rFonts w:ascii="Times" w:hAnsi="Times" w:cs="Times-Roman"/>
          <w:lang w:bidi="en-US"/>
        </w:rPr>
        <w:t xml:space="preserve">In </w:t>
      </w:r>
      <w:r w:rsidRPr="00E54251">
        <w:rPr>
          <w:rFonts w:ascii="Times" w:hAnsi="Times" w:cs="Times-Roman"/>
          <w:i/>
          <w:iCs/>
          <w:lang w:bidi="en-US"/>
        </w:rPr>
        <w:t>Archaeologies of Sexuality</w:t>
      </w:r>
      <w:r w:rsidRPr="00E54251">
        <w:rPr>
          <w:rFonts w:ascii="Times" w:hAnsi="Times" w:cs="Times-Roman"/>
          <w:lang w:bidi="en-US"/>
        </w:rPr>
        <w:t>, edited by Robert A. Schmidt and Barbara L. Voss, pp. 62-88.</w:t>
      </w:r>
      <w:proofErr w:type="gramEnd"/>
      <w:r w:rsidRPr="00E54251">
        <w:rPr>
          <w:rFonts w:ascii="Times" w:hAnsi="Times" w:cs="Times-Roman"/>
          <w:lang w:bidi="en-US"/>
        </w:rPr>
        <w:t xml:space="preserve"> New York: Routledge.</w:t>
      </w:r>
    </w:p>
    <w:p w:rsidR="009837FE" w:rsidRPr="00E54251" w:rsidRDefault="009837FE" w:rsidP="009837FE">
      <w:pPr>
        <w:rPr>
          <w:rFonts w:ascii="Times" w:hAnsi="Times"/>
        </w:rPr>
      </w:pPr>
    </w:p>
    <w:p w:rsidR="009837FE" w:rsidRDefault="009837FE" w:rsidP="009837FE">
      <w:r>
        <w:t>Voss, Barbara L. (2006</w:t>
      </w:r>
      <w:proofErr w:type="gramStart"/>
      <w:r>
        <w:t>)  Sexuality</w:t>
      </w:r>
      <w:proofErr w:type="gramEnd"/>
      <w:r>
        <w:t xml:space="preserve"> in Archaeology. </w:t>
      </w:r>
      <w:proofErr w:type="gramStart"/>
      <w:r>
        <w:t xml:space="preserve">In </w:t>
      </w:r>
      <w:r w:rsidRPr="004E0EC2">
        <w:rPr>
          <w:i/>
        </w:rPr>
        <w:t>Handbook of Gender in Archaeology</w:t>
      </w:r>
      <w:r>
        <w:t>, edited by Sarah M. Nelson, pp. 365-400.</w:t>
      </w:r>
      <w:proofErr w:type="gramEnd"/>
      <w:r>
        <w:t xml:space="preserve"> Lanham, MD: </w:t>
      </w:r>
      <w:proofErr w:type="spellStart"/>
      <w:r>
        <w:t>AltaMira</w:t>
      </w:r>
      <w:proofErr w:type="spellEnd"/>
      <w:r>
        <w:t>.</w:t>
      </w:r>
    </w:p>
    <w:p w:rsidR="003E71C8" w:rsidRPr="00873527" w:rsidRDefault="006A3FB7" w:rsidP="009837FE">
      <w:pPr>
        <w:rPr>
          <w:rFonts w:ascii="Times" w:hAnsi="Times"/>
          <w:b/>
          <w:bCs/>
        </w:rPr>
      </w:pPr>
      <w:r>
        <w:rPr>
          <w:b/>
        </w:rPr>
        <w:pict>
          <v:rect id="_x0000_i1038" style="width:0;height:1.5pt" o:hralign="center" o:hrstd="t" o:hr="t" fillcolor="#aaa" stroked="f"/>
        </w:pict>
      </w:r>
    </w:p>
    <w:p w:rsidR="00A25315" w:rsidRPr="00873527" w:rsidRDefault="00A25315" w:rsidP="00A25315">
      <w:pPr>
        <w:rPr>
          <w:rFonts w:ascii="Times" w:hAnsi="Times"/>
          <w:b/>
          <w:bCs/>
        </w:rPr>
      </w:pPr>
    </w:p>
    <w:p w:rsidR="009837FE" w:rsidRDefault="00A25315" w:rsidP="009837FE">
      <w:pPr>
        <w:rPr>
          <w:rFonts w:ascii="Times" w:hAnsi="Times"/>
          <w:b/>
          <w:bCs/>
        </w:rPr>
      </w:pPr>
      <w:r w:rsidRPr="00873527">
        <w:rPr>
          <w:rFonts w:ascii="Times" w:hAnsi="Times"/>
          <w:b/>
        </w:rPr>
        <w:t>Dec 1</w:t>
      </w:r>
      <w:r w:rsidR="00B140AB" w:rsidRPr="00873527">
        <w:rPr>
          <w:rFonts w:ascii="Times" w:hAnsi="Times"/>
          <w:b/>
        </w:rPr>
        <w:t>0</w:t>
      </w:r>
      <w:r w:rsidRPr="00873527">
        <w:rPr>
          <w:rFonts w:ascii="Times" w:hAnsi="Times"/>
          <w:b/>
        </w:rPr>
        <w:t xml:space="preserve"> - </w:t>
      </w:r>
      <w:r w:rsidR="009837FE" w:rsidRPr="00873527">
        <w:rPr>
          <w:rFonts w:ascii="Times" w:hAnsi="Times"/>
          <w:b/>
          <w:bCs/>
        </w:rPr>
        <w:t>Archaeology of the Contemporary</w:t>
      </w:r>
    </w:p>
    <w:p w:rsidR="00047A58" w:rsidRDefault="00047A58" w:rsidP="009837FE">
      <w:pPr>
        <w:rPr>
          <w:rFonts w:ascii="Times" w:hAnsi="Times"/>
          <w:b/>
          <w:bCs/>
        </w:rPr>
      </w:pPr>
    </w:p>
    <w:p w:rsidR="0047572D" w:rsidRPr="00A61873" w:rsidRDefault="0047572D" w:rsidP="0047572D">
      <w:pPr>
        <w:widowControl w:val="0"/>
        <w:autoSpaceDE w:val="0"/>
        <w:autoSpaceDN w:val="0"/>
        <w:adjustRightInd w:val="0"/>
      </w:pPr>
      <w:r w:rsidRPr="00A61873">
        <w:t>Harrison, Rodney</w:t>
      </w:r>
      <w:r>
        <w:t xml:space="preserve"> (</w:t>
      </w:r>
      <w:r w:rsidRPr="00A61873">
        <w:t>2011</w:t>
      </w:r>
      <w:r>
        <w:t>)</w:t>
      </w:r>
      <w:r w:rsidRPr="00A61873">
        <w:t xml:space="preserve"> Surface Assemblages: Towards </w:t>
      </w:r>
      <w:proofErr w:type="gramStart"/>
      <w:r w:rsidRPr="00A61873">
        <w:t>An</w:t>
      </w:r>
      <w:proofErr w:type="gramEnd"/>
      <w:r w:rsidRPr="00A61873">
        <w:t xml:space="preserve"> Archaeology in and of the Present. </w:t>
      </w:r>
      <w:r w:rsidRPr="00A61873">
        <w:rPr>
          <w:i/>
          <w:color w:val="000000"/>
          <w:shd w:val="clear" w:color="auto" w:fill="FFFFFF"/>
        </w:rPr>
        <w:t>Archaeological Dialogues</w:t>
      </w:r>
      <w:r w:rsidRPr="00A61873">
        <w:rPr>
          <w:color w:val="000000"/>
          <w:shd w:val="clear" w:color="auto" w:fill="FFFFFF"/>
        </w:rPr>
        <w:t xml:space="preserve"> 18 (2):161–164.</w:t>
      </w:r>
    </w:p>
    <w:p w:rsidR="0047572D" w:rsidRPr="00A61873" w:rsidRDefault="0047572D" w:rsidP="0047572D">
      <w:pPr>
        <w:widowControl w:val="0"/>
        <w:autoSpaceDE w:val="0"/>
        <w:autoSpaceDN w:val="0"/>
        <w:adjustRightInd w:val="0"/>
        <w:ind w:left="1440"/>
        <w:rPr>
          <w:color w:val="000000"/>
          <w:shd w:val="clear" w:color="auto" w:fill="FFFFFF"/>
        </w:rPr>
      </w:pPr>
    </w:p>
    <w:p w:rsidR="0047572D" w:rsidRPr="00A61873" w:rsidRDefault="0047572D" w:rsidP="0047572D">
      <w:pPr>
        <w:widowControl w:val="0"/>
        <w:autoSpaceDE w:val="0"/>
        <w:autoSpaceDN w:val="0"/>
        <w:adjustRightInd w:val="0"/>
        <w:rPr>
          <w:shd w:val="clear" w:color="auto" w:fill="FFFFFF"/>
        </w:rPr>
      </w:pPr>
      <w:r w:rsidRPr="00A61873">
        <w:rPr>
          <w:shd w:val="clear" w:color="auto" w:fill="FFFFFF"/>
        </w:rPr>
        <w:t>Voss, Barbara L.</w:t>
      </w:r>
      <w:r>
        <w:rPr>
          <w:shd w:val="clear" w:color="auto" w:fill="FFFFFF"/>
        </w:rPr>
        <w:t xml:space="preserve"> (</w:t>
      </w:r>
      <w:r w:rsidRPr="00A61873">
        <w:rPr>
          <w:shd w:val="clear" w:color="auto" w:fill="FFFFFF"/>
        </w:rPr>
        <w:t>2010</w:t>
      </w:r>
      <w:r>
        <w:rPr>
          <w:shd w:val="clear" w:color="auto" w:fill="FFFFFF"/>
        </w:rPr>
        <w:t xml:space="preserve">) </w:t>
      </w:r>
      <w:r w:rsidRPr="00A61873">
        <w:rPr>
          <w:shd w:val="clear" w:color="auto" w:fill="FFFFFF"/>
        </w:rPr>
        <w:t xml:space="preserve">Matter Out of Time: The Paradox of the “Contemporary Past”.  </w:t>
      </w:r>
      <w:r w:rsidRPr="00A61873">
        <w:rPr>
          <w:i/>
          <w:shd w:val="clear" w:color="auto" w:fill="FFFFFF"/>
        </w:rPr>
        <w:t xml:space="preserve">Archaeologies </w:t>
      </w:r>
      <w:r w:rsidRPr="00A61873">
        <w:rPr>
          <w:shd w:val="clear" w:color="auto" w:fill="FFFFFF"/>
        </w:rPr>
        <w:t>6(1):181-192.</w:t>
      </w:r>
    </w:p>
    <w:p w:rsidR="0047572D" w:rsidRPr="00A61873" w:rsidRDefault="0047572D" w:rsidP="0047572D">
      <w:pPr>
        <w:widowControl w:val="0"/>
        <w:autoSpaceDE w:val="0"/>
        <w:autoSpaceDN w:val="0"/>
        <w:adjustRightInd w:val="0"/>
        <w:rPr>
          <w:rFonts w:ascii="Courier New" w:hAnsi="Courier New" w:cs="Calibri"/>
        </w:rPr>
      </w:pPr>
    </w:p>
    <w:p w:rsidR="0047572D" w:rsidRPr="00A61873" w:rsidRDefault="0047572D" w:rsidP="0047572D">
      <w:pPr>
        <w:widowControl w:val="0"/>
        <w:autoSpaceDE w:val="0"/>
        <w:autoSpaceDN w:val="0"/>
        <w:adjustRightInd w:val="0"/>
      </w:pPr>
      <w:proofErr w:type="spellStart"/>
      <w:r w:rsidRPr="00A61873">
        <w:t>Yazdi</w:t>
      </w:r>
      <w:proofErr w:type="spellEnd"/>
      <w:r w:rsidRPr="00A61873">
        <w:t xml:space="preserve">, Leila </w:t>
      </w:r>
      <w:proofErr w:type="spellStart"/>
      <w:r w:rsidRPr="00A61873">
        <w:t>Papoli</w:t>
      </w:r>
      <w:proofErr w:type="spellEnd"/>
      <w:r>
        <w:t xml:space="preserve"> (</w:t>
      </w:r>
      <w:r w:rsidRPr="00A61873">
        <w:t>2010</w:t>
      </w:r>
      <w:r>
        <w:t>)</w:t>
      </w:r>
      <w:r w:rsidRPr="00A61873">
        <w:t xml:space="preserve"> Public and Private Lives in Iran: An Introduction to the Archaeology of the 2003 Bam Earthquake. </w:t>
      </w:r>
      <w:proofErr w:type="gramStart"/>
      <w:r w:rsidRPr="00A61873">
        <w:rPr>
          <w:i/>
        </w:rPr>
        <w:t>Archaeologies</w:t>
      </w:r>
      <w:r w:rsidRPr="00A61873">
        <w:t>.</w:t>
      </w:r>
      <w:proofErr w:type="gramEnd"/>
      <w:r w:rsidRPr="00A61873">
        <w:t xml:space="preserve"> 6(1):29-47.</w:t>
      </w:r>
    </w:p>
    <w:p w:rsidR="0047572D" w:rsidRDefault="0047572D" w:rsidP="0047572D">
      <w:pPr>
        <w:widowControl w:val="0"/>
        <w:autoSpaceDE w:val="0"/>
        <w:autoSpaceDN w:val="0"/>
        <w:adjustRightInd w:val="0"/>
      </w:pPr>
    </w:p>
    <w:p w:rsidR="0047572D" w:rsidRDefault="0047572D" w:rsidP="0047572D">
      <w:pPr>
        <w:widowControl w:val="0"/>
        <w:autoSpaceDE w:val="0"/>
        <w:autoSpaceDN w:val="0"/>
        <w:adjustRightInd w:val="0"/>
      </w:pPr>
      <w:r w:rsidRPr="00A61873">
        <w:t>De León, Jason</w:t>
      </w:r>
      <w:r>
        <w:t xml:space="preserve"> (</w:t>
      </w:r>
      <w:r w:rsidRPr="00A61873">
        <w:t>2012</w:t>
      </w:r>
      <w:r>
        <w:t>)</w:t>
      </w:r>
      <w:r w:rsidR="00392A50">
        <w:t xml:space="preserve"> </w:t>
      </w:r>
      <w:r w:rsidRPr="00A61873">
        <w:t xml:space="preserve">Better to Be Hot Than Caught: Excavating the Conflicting Roles of Migrant Material Culture. </w:t>
      </w:r>
      <w:r w:rsidRPr="00A61873">
        <w:rPr>
          <w:i/>
        </w:rPr>
        <w:t>American Anthropologist</w:t>
      </w:r>
      <w:r w:rsidRPr="00A61873">
        <w:t xml:space="preserve"> 114(3):477-495.</w:t>
      </w:r>
    </w:p>
    <w:p w:rsidR="0047572D" w:rsidRDefault="0047572D" w:rsidP="0047572D">
      <w:pPr>
        <w:widowControl w:val="0"/>
        <w:autoSpaceDE w:val="0"/>
        <w:autoSpaceDN w:val="0"/>
        <w:adjustRightInd w:val="0"/>
      </w:pPr>
    </w:p>
    <w:p w:rsidR="0047572D" w:rsidRPr="00531E80" w:rsidRDefault="0047572D" w:rsidP="0047572D">
      <w:pPr>
        <w:widowControl w:val="0"/>
        <w:autoSpaceDE w:val="0"/>
        <w:autoSpaceDN w:val="0"/>
        <w:adjustRightInd w:val="0"/>
        <w:rPr>
          <w:color w:val="222222"/>
          <w:shd w:val="clear" w:color="auto" w:fill="FFFFFF"/>
        </w:rPr>
      </w:pPr>
      <w:r w:rsidRPr="00531E80">
        <w:t>McGuire, Randall H.</w:t>
      </w:r>
      <w:r>
        <w:t xml:space="preserve"> (</w:t>
      </w:r>
      <w:r w:rsidRPr="00531E80">
        <w:t>2013</w:t>
      </w:r>
      <w:r>
        <w:t>)</w:t>
      </w:r>
      <w:r w:rsidRPr="00531E80">
        <w:t xml:space="preserve"> </w:t>
      </w:r>
      <w:r w:rsidRPr="00531E80">
        <w:rPr>
          <w:color w:val="222222"/>
          <w:shd w:val="clear" w:color="auto" w:fill="FFFFFF"/>
        </w:rPr>
        <w:t xml:space="preserve">Steel Walls and Picket Fences: Rematerializing the U.S. - Mexican Border in Ambos Nogales. </w:t>
      </w:r>
      <w:r w:rsidRPr="00531E80">
        <w:rPr>
          <w:i/>
          <w:color w:val="222222"/>
          <w:shd w:val="clear" w:color="auto" w:fill="FFFFFF"/>
        </w:rPr>
        <w:t xml:space="preserve">American Anthropologist </w:t>
      </w:r>
      <w:r w:rsidRPr="00531E80">
        <w:rPr>
          <w:color w:val="222222"/>
          <w:shd w:val="clear" w:color="auto" w:fill="FFFFFF"/>
        </w:rPr>
        <w:t>115(3):466-480.</w:t>
      </w:r>
    </w:p>
    <w:p w:rsidR="00047A58" w:rsidRPr="00047A58" w:rsidRDefault="00047A58" w:rsidP="009837FE">
      <w:pPr>
        <w:rPr>
          <w:rFonts w:ascii="Times" w:hAnsi="Times"/>
          <w:bCs/>
        </w:rPr>
      </w:pPr>
    </w:p>
    <w:p w:rsidR="009837FE" w:rsidRPr="003C5808" w:rsidRDefault="006A3FB7" w:rsidP="009837FE">
      <w:pPr>
        <w:rPr>
          <w:rFonts w:ascii="Times" w:hAnsi="Times"/>
          <w:b/>
          <w:bCs/>
        </w:rPr>
      </w:pPr>
      <w:r>
        <w:rPr>
          <w:rFonts w:ascii="Times" w:hAnsi="Times"/>
          <w:b/>
        </w:rPr>
        <w:pict>
          <v:rect id="_x0000_i1039" style="width:0;height:1.5pt" o:hralign="center" o:hrstd="t" o:hr="t" fillcolor="#aaa" stroked="f"/>
        </w:pict>
      </w:r>
    </w:p>
    <w:p w:rsidR="00A25315" w:rsidRPr="003C5808" w:rsidRDefault="00A25315">
      <w:pPr>
        <w:rPr>
          <w:rFonts w:ascii="Times" w:hAnsi="Times"/>
          <w:b/>
          <w:bCs/>
        </w:rPr>
      </w:pPr>
    </w:p>
    <w:p w:rsidR="00A25315" w:rsidRPr="00467B6D" w:rsidRDefault="00A25315" w:rsidP="00A25315">
      <w:pPr>
        <w:tabs>
          <w:tab w:val="left" w:pos="720"/>
          <w:tab w:val="left" w:pos="1440"/>
          <w:tab w:val="left" w:pos="6300"/>
        </w:tabs>
        <w:jc w:val="center"/>
        <w:rPr>
          <w:rFonts w:ascii="Times" w:hAnsi="Times"/>
          <w:b/>
        </w:rPr>
      </w:pPr>
      <w:r w:rsidRPr="00467B6D">
        <w:rPr>
          <w:rFonts w:ascii="Times" w:hAnsi="Times"/>
          <w:b/>
        </w:rPr>
        <w:t>FINAL E</w:t>
      </w:r>
      <w:r>
        <w:rPr>
          <w:rFonts w:ascii="Times" w:hAnsi="Times"/>
          <w:b/>
        </w:rPr>
        <w:t>SSAY DUE Wednesday, December 1</w:t>
      </w:r>
      <w:r w:rsidR="00D06137">
        <w:rPr>
          <w:rFonts w:ascii="Times" w:hAnsi="Times"/>
          <w:b/>
        </w:rPr>
        <w:t>7</w:t>
      </w:r>
      <w:r>
        <w:rPr>
          <w:rFonts w:ascii="Times" w:hAnsi="Times"/>
          <w:b/>
        </w:rPr>
        <w:t>, noon</w:t>
      </w:r>
      <w:r w:rsidR="00392A50">
        <w:rPr>
          <w:rFonts w:ascii="Times" w:hAnsi="Times"/>
          <w:b/>
        </w:rPr>
        <w:t xml:space="preserve">, </w:t>
      </w:r>
      <w:proofErr w:type="spellStart"/>
      <w:r w:rsidR="00392A50">
        <w:rPr>
          <w:rFonts w:ascii="Times" w:hAnsi="Times"/>
          <w:b/>
        </w:rPr>
        <w:t>Sci</w:t>
      </w:r>
      <w:proofErr w:type="spellEnd"/>
      <w:r w:rsidR="00392A50">
        <w:rPr>
          <w:rFonts w:ascii="Times" w:hAnsi="Times"/>
          <w:b/>
        </w:rPr>
        <w:t xml:space="preserve"> 1 - 228</w:t>
      </w:r>
    </w:p>
    <w:p w:rsidR="00A25315" w:rsidRPr="003C5808" w:rsidRDefault="006A3FB7" w:rsidP="00A25315">
      <w:pPr>
        <w:tabs>
          <w:tab w:val="left" w:pos="720"/>
          <w:tab w:val="left" w:pos="1440"/>
          <w:tab w:val="left" w:pos="6300"/>
        </w:tabs>
        <w:rPr>
          <w:rFonts w:ascii="Times" w:hAnsi="Times"/>
        </w:rPr>
      </w:pPr>
      <w:r>
        <w:rPr>
          <w:rFonts w:ascii="Times" w:hAnsi="Times"/>
          <w:b/>
        </w:rPr>
        <w:pict>
          <v:rect id="_x0000_i1040" style="width:0;height:1.5pt" o:hralign="center" o:hrstd="t" o:hr="t" fillcolor="#aaa" stroked="f"/>
        </w:pict>
      </w:r>
    </w:p>
    <w:p w:rsidR="00B5391C" w:rsidRDefault="00B5391C" w:rsidP="00A25315">
      <w:pPr>
        <w:tabs>
          <w:tab w:val="left" w:pos="720"/>
          <w:tab w:val="left" w:pos="1440"/>
          <w:tab w:val="left" w:pos="6300"/>
        </w:tabs>
        <w:rPr>
          <w:rFonts w:ascii="Times" w:hAnsi="Times"/>
        </w:rPr>
      </w:pPr>
    </w:p>
    <w:p w:rsidR="00B5391C" w:rsidRDefault="00B5391C" w:rsidP="00A25315">
      <w:pPr>
        <w:tabs>
          <w:tab w:val="left" w:pos="720"/>
          <w:tab w:val="left" w:pos="1440"/>
          <w:tab w:val="left" w:pos="6300"/>
        </w:tabs>
        <w:rPr>
          <w:rFonts w:ascii="Times" w:hAnsi="Times"/>
        </w:rPr>
      </w:pPr>
    </w:p>
    <w:p w:rsidR="00A25315" w:rsidRPr="003C5808" w:rsidRDefault="00B5391C" w:rsidP="003B21E8">
      <w:pPr>
        <w:rPr>
          <w:rFonts w:ascii="Times" w:hAnsi="Times"/>
        </w:rPr>
      </w:pPr>
      <w:r>
        <w:rPr>
          <w:rFonts w:ascii="Times" w:hAnsi="Times"/>
        </w:rPr>
        <w:fldChar w:fldCharType="begin"/>
      </w:r>
      <w:r>
        <w:rPr>
          <w:rFonts w:ascii="Times" w:hAnsi="Times"/>
        </w:rPr>
        <w:instrText xml:space="preserve"> ADDIN EN.REFLIST </w:instrText>
      </w:r>
      <w:r>
        <w:rPr>
          <w:rFonts w:ascii="Times" w:hAnsi="Times"/>
        </w:rPr>
        <w:fldChar w:fldCharType="end"/>
      </w:r>
    </w:p>
    <w:sectPr w:rsidR="00A25315" w:rsidRPr="003C5808" w:rsidSect="00A2531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B7" w:rsidRDefault="006A3FB7">
      <w:r>
        <w:separator/>
      </w:r>
    </w:p>
  </w:endnote>
  <w:endnote w:type="continuationSeparator" w:id="0">
    <w:p w:rsidR="006A3FB7" w:rsidRDefault="006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EF" w:rsidRDefault="009204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04EF" w:rsidRDefault="00920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EF" w:rsidRDefault="009204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7E3E">
      <w:rPr>
        <w:rStyle w:val="PageNumber"/>
        <w:noProof/>
      </w:rPr>
      <w:t>8</w:t>
    </w:r>
    <w:r>
      <w:rPr>
        <w:rStyle w:val="PageNumber"/>
      </w:rPr>
      <w:fldChar w:fldCharType="end"/>
    </w:r>
  </w:p>
  <w:p w:rsidR="009204EF" w:rsidRDefault="00920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B7" w:rsidRDefault="006A3FB7">
      <w:r>
        <w:separator/>
      </w:r>
    </w:p>
  </w:footnote>
  <w:footnote w:type="continuationSeparator" w:id="0">
    <w:p w:rsidR="006A3FB7" w:rsidRDefault="006A3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3CF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D0432"/>
    <w:multiLevelType w:val="hybridMultilevel"/>
    <w:tmpl w:val="53B80C72"/>
    <w:lvl w:ilvl="0" w:tplc="6A966D9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84496"/>
    <w:multiLevelType w:val="hybridMultilevel"/>
    <w:tmpl w:val="EC60A4CA"/>
    <w:lvl w:ilvl="0" w:tplc="A6BCFA9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1105E2"/>
    <w:multiLevelType w:val="hybridMultilevel"/>
    <w:tmpl w:val="BBD204F6"/>
    <w:lvl w:ilvl="0" w:tplc="03701A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013A2F"/>
    <w:multiLevelType w:val="hybridMultilevel"/>
    <w:tmpl w:val="DC4A9E44"/>
    <w:lvl w:ilvl="0" w:tplc="7E40CFA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2752A"/>
    <w:multiLevelType w:val="hybridMultilevel"/>
    <w:tmpl w:val="442CB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876FE"/>
    <w:multiLevelType w:val="hybridMultilevel"/>
    <w:tmpl w:val="03400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BB5215"/>
    <w:multiLevelType w:val="singleLevel"/>
    <w:tmpl w:val="03701A2C"/>
    <w:lvl w:ilvl="0">
      <w:start w:val="1"/>
      <w:numFmt w:val="bullet"/>
      <w:lvlText w:val=""/>
      <w:lvlJc w:val="left"/>
      <w:pPr>
        <w:tabs>
          <w:tab w:val="num" w:pos="360"/>
        </w:tabs>
        <w:ind w:left="360" w:hanging="360"/>
      </w:pPr>
      <w:rPr>
        <w:rFonts w:ascii="Symbol" w:hAnsi="Symbol" w:hint="default"/>
        <w:sz w:val="16"/>
      </w:rPr>
    </w:lvl>
  </w:abstractNum>
  <w:abstractNum w:abstractNumId="8">
    <w:nsid w:val="6678473C"/>
    <w:multiLevelType w:val="hybridMultilevel"/>
    <w:tmpl w:val="1D5A8850"/>
    <w:lvl w:ilvl="0" w:tplc="7E40CFA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C15871"/>
    <w:multiLevelType w:val="hybridMultilevel"/>
    <w:tmpl w:val="40A8D950"/>
    <w:lvl w:ilvl="0" w:tplc="A6BCFA9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6B40E5"/>
    <w:multiLevelType w:val="singleLevel"/>
    <w:tmpl w:val="03701A2C"/>
    <w:lvl w:ilvl="0">
      <w:start w:val="1"/>
      <w:numFmt w:val="bullet"/>
      <w:lvlText w:val=""/>
      <w:lvlJc w:val="left"/>
      <w:pPr>
        <w:tabs>
          <w:tab w:val="num" w:pos="360"/>
        </w:tabs>
        <w:ind w:left="360" w:hanging="360"/>
      </w:pPr>
      <w:rPr>
        <w:rFonts w:ascii="Symbol" w:hAnsi="Symbol" w:hint="default"/>
        <w:sz w:val="16"/>
      </w:rPr>
    </w:lvl>
  </w:abstractNum>
  <w:abstractNum w:abstractNumId="11">
    <w:nsid w:val="737F1603"/>
    <w:multiLevelType w:val="hybridMultilevel"/>
    <w:tmpl w:val="4B0A17E6"/>
    <w:lvl w:ilvl="0" w:tplc="7E40CFA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3"/>
  </w:num>
  <w:num w:numId="6">
    <w:abstractNumId w:val="2"/>
  </w:num>
  <w:num w:numId="7">
    <w:abstractNumId w:val="11"/>
  </w:num>
  <w:num w:numId="8">
    <w:abstractNumId w:val="1"/>
  </w:num>
  <w:num w:numId="9">
    <w:abstractNumId w:val="8"/>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KASFILES-Converted-early-april.enl&lt;/item&gt;&lt;/Libraries&gt;&lt;/ENLibraries&gt;"/>
  </w:docVars>
  <w:rsids>
    <w:rsidRoot w:val="006058E1"/>
    <w:rsid w:val="00031864"/>
    <w:rsid w:val="00036ABE"/>
    <w:rsid w:val="00047A58"/>
    <w:rsid w:val="00067D77"/>
    <w:rsid w:val="000773ED"/>
    <w:rsid w:val="000A3115"/>
    <w:rsid w:val="000C76FD"/>
    <w:rsid w:val="000D1CD5"/>
    <w:rsid w:val="000D72B9"/>
    <w:rsid w:val="000E3A08"/>
    <w:rsid w:val="000F134C"/>
    <w:rsid w:val="00100C13"/>
    <w:rsid w:val="001020D8"/>
    <w:rsid w:val="001253C3"/>
    <w:rsid w:val="0012636D"/>
    <w:rsid w:val="00127834"/>
    <w:rsid w:val="00135B26"/>
    <w:rsid w:val="001372CF"/>
    <w:rsid w:val="00145560"/>
    <w:rsid w:val="00154597"/>
    <w:rsid w:val="0016694C"/>
    <w:rsid w:val="00185F99"/>
    <w:rsid w:val="0018667C"/>
    <w:rsid w:val="00187224"/>
    <w:rsid w:val="001B0E9B"/>
    <w:rsid w:val="001B5D8E"/>
    <w:rsid w:val="001B6983"/>
    <w:rsid w:val="001C5CBD"/>
    <w:rsid w:val="001D6901"/>
    <w:rsid w:val="001D6B4D"/>
    <w:rsid w:val="001E42EB"/>
    <w:rsid w:val="001E6762"/>
    <w:rsid w:val="0020714B"/>
    <w:rsid w:val="00214706"/>
    <w:rsid w:val="0022095D"/>
    <w:rsid w:val="00240DAD"/>
    <w:rsid w:val="002421E8"/>
    <w:rsid w:val="0025072E"/>
    <w:rsid w:val="00256BAD"/>
    <w:rsid w:val="00267ADF"/>
    <w:rsid w:val="00296C43"/>
    <w:rsid w:val="002E6C24"/>
    <w:rsid w:val="003046DC"/>
    <w:rsid w:val="0030492A"/>
    <w:rsid w:val="00331E6F"/>
    <w:rsid w:val="00334823"/>
    <w:rsid w:val="0033785A"/>
    <w:rsid w:val="003651BE"/>
    <w:rsid w:val="00371DB7"/>
    <w:rsid w:val="00374DBC"/>
    <w:rsid w:val="00386737"/>
    <w:rsid w:val="00392A50"/>
    <w:rsid w:val="003950C7"/>
    <w:rsid w:val="00396FFB"/>
    <w:rsid w:val="003A1913"/>
    <w:rsid w:val="003A71BC"/>
    <w:rsid w:val="003B21E8"/>
    <w:rsid w:val="003B5D69"/>
    <w:rsid w:val="003D0750"/>
    <w:rsid w:val="003D17FD"/>
    <w:rsid w:val="003E71C8"/>
    <w:rsid w:val="00401B3B"/>
    <w:rsid w:val="004172D1"/>
    <w:rsid w:val="004208B8"/>
    <w:rsid w:val="00422635"/>
    <w:rsid w:val="00424817"/>
    <w:rsid w:val="00425735"/>
    <w:rsid w:val="004262A5"/>
    <w:rsid w:val="004277CD"/>
    <w:rsid w:val="00433690"/>
    <w:rsid w:val="00433961"/>
    <w:rsid w:val="00440639"/>
    <w:rsid w:val="004416B6"/>
    <w:rsid w:val="0044402B"/>
    <w:rsid w:val="00455259"/>
    <w:rsid w:val="00461753"/>
    <w:rsid w:val="0047572D"/>
    <w:rsid w:val="00480A09"/>
    <w:rsid w:val="00487795"/>
    <w:rsid w:val="004A4803"/>
    <w:rsid w:val="004A545D"/>
    <w:rsid w:val="004C35F8"/>
    <w:rsid w:val="004D292D"/>
    <w:rsid w:val="004E0EC2"/>
    <w:rsid w:val="0050187A"/>
    <w:rsid w:val="00505B7F"/>
    <w:rsid w:val="00511D16"/>
    <w:rsid w:val="00514C88"/>
    <w:rsid w:val="005222FD"/>
    <w:rsid w:val="005423DC"/>
    <w:rsid w:val="00546536"/>
    <w:rsid w:val="00584648"/>
    <w:rsid w:val="005956AB"/>
    <w:rsid w:val="0059747E"/>
    <w:rsid w:val="005C184B"/>
    <w:rsid w:val="005C5AE3"/>
    <w:rsid w:val="006058E1"/>
    <w:rsid w:val="006212C6"/>
    <w:rsid w:val="00622D4C"/>
    <w:rsid w:val="00625BE8"/>
    <w:rsid w:val="00645E22"/>
    <w:rsid w:val="00646B38"/>
    <w:rsid w:val="00647A0F"/>
    <w:rsid w:val="00672566"/>
    <w:rsid w:val="00677800"/>
    <w:rsid w:val="0068070A"/>
    <w:rsid w:val="006830F1"/>
    <w:rsid w:val="00692358"/>
    <w:rsid w:val="006A3FB7"/>
    <w:rsid w:val="006B0965"/>
    <w:rsid w:val="006B0DAE"/>
    <w:rsid w:val="006C6914"/>
    <w:rsid w:val="006D16C3"/>
    <w:rsid w:val="007010FC"/>
    <w:rsid w:val="007025ED"/>
    <w:rsid w:val="0071465A"/>
    <w:rsid w:val="00715876"/>
    <w:rsid w:val="00721869"/>
    <w:rsid w:val="00722BA3"/>
    <w:rsid w:val="00744988"/>
    <w:rsid w:val="00767BF4"/>
    <w:rsid w:val="00784EC7"/>
    <w:rsid w:val="00795176"/>
    <w:rsid w:val="007A1D33"/>
    <w:rsid w:val="007B1525"/>
    <w:rsid w:val="007B6369"/>
    <w:rsid w:val="007C0950"/>
    <w:rsid w:val="007D7C5A"/>
    <w:rsid w:val="007E43B3"/>
    <w:rsid w:val="00805130"/>
    <w:rsid w:val="00811B67"/>
    <w:rsid w:val="008122DD"/>
    <w:rsid w:val="00816DCE"/>
    <w:rsid w:val="008170AF"/>
    <w:rsid w:val="008379DD"/>
    <w:rsid w:val="00842933"/>
    <w:rsid w:val="00847E3E"/>
    <w:rsid w:val="0085311D"/>
    <w:rsid w:val="00860BFF"/>
    <w:rsid w:val="00873527"/>
    <w:rsid w:val="008B3391"/>
    <w:rsid w:val="008B3B40"/>
    <w:rsid w:val="008C07B3"/>
    <w:rsid w:val="008C51EF"/>
    <w:rsid w:val="008D28FE"/>
    <w:rsid w:val="008E03F0"/>
    <w:rsid w:val="008F39A3"/>
    <w:rsid w:val="00903851"/>
    <w:rsid w:val="00904209"/>
    <w:rsid w:val="009204EF"/>
    <w:rsid w:val="009322C3"/>
    <w:rsid w:val="00940850"/>
    <w:rsid w:val="00941FB3"/>
    <w:rsid w:val="00960956"/>
    <w:rsid w:val="00970CA1"/>
    <w:rsid w:val="009837FE"/>
    <w:rsid w:val="00990B73"/>
    <w:rsid w:val="009A7C85"/>
    <w:rsid w:val="009C1A4D"/>
    <w:rsid w:val="009E6F56"/>
    <w:rsid w:val="00A25315"/>
    <w:rsid w:val="00A329E0"/>
    <w:rsid w:val="00A41A18"/>
    <w:rsid w:val="00A42EC1"/>
    <w:rsid w:val="00A819C2"/>
    <w:rsid w:val="00A81E2F"/>
    <w:rsid w:val="00A86080"/>
    <w:rsid w:val="00A9637D"/>
    <w:rsid w:val="00AA1E89"/>
    <w:rsid w:val="00AA2AC8"/>
    <w:rsid w:val="00AA3F22"/>
    <w:rsid w:val="00AB7E87"/>
    <w:rsid w:val="00AC008D"/>
    <w:rsid w:val="00AC351D"/>
    <w:rsid w:val="00AC5904"/>
    <w:rsid w:val="00AE5F92"/>
    <w:rsid w:val="00AF3A86"/>
    <w:rsid w:val="00B05539"/>
    <w:rsid w:val="00B140AB"/>
    <w:rsid w:val="00B1796C"/>
    <w:rsid w:val="00B43545"/>
    <w:rsid w:val="00B5391C"/>
    <w:rsid w:val="00B6601D"/>
    <w:rsid w:val="00B8546A"/>
    <w:rsid w:val="00B858C9"/>
    <w:rsid w:val="00BA07FB"/>
    <w:rsid w:val="00BA3DC1"/>
    <w:rsid w:val="00BA61AB"/>
    <w:rsid w:val="00BB10B4"/>
    <w:rsid w:val="00BB4D70"/>
    <w:rsid w:val="00BB5AEF"/>
    <w:rsid w:val="00BC3E57"/>
    <w:rsid w:val="00BC4F25"/>
    <w:rsid w:val="00BD420D"/>
    <w:rsid w:val="00BF4080"/>
    <w:rsid w:val="00C0454C"/>
    <w:rsid w:val="00C13331"/>
    <w:rsid w:val="00C145A8"/>
    <w:rsid w:val="00C245D7"/>
    <w:rsid w:val="00C24E75"/>
    <w:rsid w:val="00C262B3"/>
    <w:rsid w:val="00C27FAA"/>
    <w:rsid w:val="00C35C63"/>
    <w:rsid w:val="00C4372C"/>
    <w:rsid w:val="00C913D5"/>
    <w:rsid w:val="00C94ACC"/>
    <w:rsid w:val="00C94B10"/>
    <w:rsid w:val="00C961A8"/>
    <w:rsid w:val="00CA3FD9"/>
    <w:rsid w:val="00CA517E"/>
    <w:rsid w:val="00CA6E27"/>
    <w:rsid w:val="00CB0A50"/>
    <w:rsid w:val="00CD3424"/>
    <w:rsid w:val="00CE5ABF"/>
    <w:rsid w:val="00CE6175"/>
    <w:rsid w:val="00CE6827"/>
    <w:rsid w:val="00CE7B21"/>
    <w:rsid w:val="00CF0071"/>
    <w:rsid w:val="00CF47E3"/>
    <w:rsid w:val="00D00BF0"/>
    <w:rsid w:val="00D02238"/>
    <w:rsid w:val="00D06137"/>
    <w:rsid w:val="00D20F3A"/>
    <w:rsid w:val="00D22825"/>
    <w:rsid w:val="00D32C82"/>
    <w:rsid w:val="00D43F08"/>
    <w:rsid w:val="00D46D08"/>
    <w:rsid w:val="00D66105"/>
    <w:rsid w:val="00D863C5"/>
    <w:rsid w:val="00D9046E"/>
    <w:rsid w:val="00D975B5"/>
    <w:rsid w:val="00DA557F"/>
    <w:rsid w:val="00DC40FE"/>
    <w:rsid w:val="00DC6156"/>
    <w:rsid w:val="00DD04B7"/>
    <w:rsid w:val="00DE5B18"/>
    <w:rsid w:val="00DF2AD8"/>
    <w:rsid w:val="00DF708F"/>
    <w:rsid w:val="00E35F03"/>
    <w:rsid w:val="00E4572B"/>
    <w:rsid w:val="00E55405"/>
    <w:rsid w:val="00E60C75"/>
    <w:rsid w:val="00E61E47"/>
    <w:rsid w:val="00E64B60"/>
    <w:rsid w:val="00E84A82"/>
    <w:rsid w:val="00EA1ED5"/>
    <w:rsid w:val="00EA4E7D"/>
    <w:rsid w:val="00EA78B5"/>
    <w:rsid w:val="00EB25D8"/>
    <w:rsid w:val="00EB5040"/>
    <w:rsid w:val="00ED4B8D"/>
    <w:rsid w:val="00EE0C06"/>
    <w:rsid w:val="00EE1142"/>
    <w:rsid w:val="00EE2E56"/>
    <w:rsid w:val="00EE4CBD"/>
    <w:rsid w:val="00EF526D"/>
    <w:rsid w:val="00F22FA8"/>
    <w:rsid w:val="00F46CBC"/>
    <w:rsid w:val="00F53B85"/>
    <w:rsid w:val="00F54B03"/>
    <w:rsid w:val="00F5618D"/>
    <w:rsid w:val="00F65478"/>
    <w:rsid w:val="00F673F7"/>
    <w:rsid w:val="00F7152F"/>
    <w:rsid w:val="00F87041"/>
    <w:rsid w:val="00F93EE9"/>
    <w:rsid w:val="00FA19DF"/>
    <w:rsid w:val="00FC4EC0"/>
    <w:rsid w:val="00FD44CC"/>
    <w:rsid w:val="00FE78B5"/>
    <w:rsid w:val="00FF32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Cs w:val="20"/>
    </w:rPr>
  </w:style>
  <w:style w:type="paragraph" w:styleId="BodyText">
    <w:name w:val="Body Text"/>
    <w:basedOn w:val="Normal"/>
    <w:rPr>
      <w:bCs/>
      <w:color w:val="FF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32"/>
      <w:szCs w:val="32"/>
    </w:rPr>
  </w:style>
  <w:style w:type="character" w:styleId="Hyperlink">
    <w:name w:val="Hyperlink"/>
    <w:rsid w:val="006058E1"/>
    <w:rPr>
      <w:color w:val="0000FF"/>
      <w:u w:val="single"/>
    </w:rPr>
  </w:style>
  <w:style w:type="paragraph" w:customStyle="1" w:styleId="MediumList2-Accent41">
    <w:name w:val="Medium List 2 - Accent 41"/>
    <w:basedOn w:val="Normal"/>
    <w:uiPriority w:val="34"/>
    <w:qFormat/>
    <w:rsid w:val="006058E1"/>
    <w:pPr>
      <w:widowControl w:val="0"/>
      <w:autoSpaceDE w:val="0"/>
      <w:autoSpaceDN w:val="0"/>
      <w:adjustRightInd w:val="0"/>
      <w:ind w:left="720"/>
      <w:contextualSpacing/>
    </w:pPr>
    <w:rPr>
      <w:rFonts w:ascii="Shruti" w:hAnsi="Shruti"/>
      <w:sz w:val="20"/>
    </w:rPr>
  </w:style>
  <w:style w:type="paragraph" w:customStyle="1" w:styleId="BodyStyle">
    <w:name w:val="Body Style"/>
    <w:basedOn w:val="Normal"/>
    <w:rsid w:val="006058E1"/>
    <w:pPr>
      <w:tabs>
        <w:tab w:val="left" w:pos="720"/>
        <w:tab w:val="left" w:pos="1440"/>
        <w:tab w:val="left" w:pos="7200"/>
      </w:tabs>
    </w:pPr>
    <w:rPr>
      <w:szCs w:val="20"/>
    </w:rPr>
  </w:style>
  <w:style w:type="paragraph" w:customStyle="1" w:styleId="AmerAntiquity">
    <w:name w:val="Amer Antiquity"/>
    <w:basedOn w:val="Normal"/>
    <w:rsid w:val="002652F1"/>
    <w:pPr>
      <w:tabs>
        <w:tab w:val="left" w:pos="260"/>
        <w:tab w:val="left" w:pos="980"/>
        <w:tab w:val="left" w:pos="1620"/>
      </w:tabs>
      <w:spacing w:line="240" w:lineRule="atLeast"/>
      <w:ind w:left="540" w:hanging="540"/>
    </w:pPr>
    <w:rPr>
      <w:rFonts w:ascii="Garamond" w:hAnsi="Garamond"/>
      <w:szCs w:val="20"/>
    </w:rPr>
  </w:style>
  <w:style w:type="paragraph" w:customStyle="1" w:styleId="References">
    <w:name w:val="References"/>
    <w:basedOn w:val="Normal"/>
    <w:rsid w:val="002652F1"/>
    <w:pPr>
      <w:suppressAutoHyphens/>
      <w:ind w:left="720" w:hanging="360"/>
    </w:pPr>
    <w:rPr>
      <w:szCs w:val="20"/>
    </w:rPr>
  </w:style>
  <w:style w:type="paragraph" w:customStyle="1" w:styleId="Resumedescline">
    <w:name w:val="Resume desc line"/>
    <w:basedOn w:val="Normal"/>
    <w:rsid w:val="00FC2FF3"/>
    <w:pPr>
      <w:ind w:left="1260"/>
    </w:pPr>
    <w:rPr>
      <w:sz w:val="20"/>
      <w:szCs w:val="20"/>
    </w:rPr>
  </w:style>
  <w:style w:type="paragraph" w:styleId="BalloonText">
    <w:name w:val="Balloon Text"/>
    <w:basedOn w:val="Normal"/>
    <w:link w:val="BalloonTextChar"/>
    <w:uiPriority w:val="99"/>
    <w:semiHidden/>
    <w:unhideWhenUsed/>
    <w:rsid w:val="00DB244D"/>
    <w:rPr>
      <w:rFonts w:ascii="Lucida Grande" w:hAnsi="Lucida Grande"/>
      <w:sz w:val="18"/>
      <w:szCs w:val="18"/>
    </w:rPr>
  </w:style>
  <w:style w:type="character" w:customStyle="1" w:styleId="BalloonTextChar">
    <w:name w:val="Balloon Text Char"/>
    <w:link w:val="BalloonText"/>
    <w:uiPriority w:val="99"/>
    <w:semiHidden/>
    <w:rsid w:val="00DB244D"/>
    <w:rPr>
      <w:rFonts w:ascii="Lucida Grande" w:hAnsi="Lucida Grande"/>
      <w:sz w:val="18"/>
      <w:szCs w:val="18"/>
    </w:rPr>
  </w:style>
  <w:style w:type="paragraph" w:styleId="BodyTextIndent">
    <w:name w:val="Body Text Indent"/>
    <w:basedOn w:val="Normal"/>
    <w:link w:val="BodyTextIndentChar"/>
    <w:uiPriority w:val="99"/>
    <w:semiHidden/>
    <w:unhideWhenUsed/>
    <w:rsid w:val="00610285"/>
    <w:pPr>
      <w:spacing w:after="120"/>
      <w:ind w:left="360"/>
    </w:pPr>
  </w:style>
  <w:style w:type="character" w:customStyle="1" w:styleId="BodyTextIndentChar">
    <w:name w:val="Body Text Indent Char"/>
    <w:link w:val="BodyTextIndent"/>
    <w:uiPriority w:val="99"/>
    <w:semiHidden/>
    <w:rsid w:val="00610285"/>
    <w:rPr>
      <w:sz w:val="24"/>
      <w:szCs w:val="24"/>
    </w:rPr>
  </w:style>
  <w:style w:type="paragraph" w:styleId="NormalWeb">
    <w:name w:val="Normal (Web)"/>
    <w:basedOn w:val="Normal"/>
    <w:uiPriority w:val="99"/>
    <w:rsid w:val="00383E12"/>
    <w:pPr>
      <w:spacing w:beforeLines="1" w:afterLines="1"/>
    </w:pPr>
    <w:rPr>
      <w:rFonts w:ascii="Times" w:hAnsi="Times"/>
      <w:sz w:val="20"/>
      <w:szCs w:val="20"/>
    </w:rPr>
  </w:style>
  <w:style w:type="character" w:styleId="CommentReference">
    <w:name w:val="annotation reference"/>
    <w:uiPriority w:val="99"/>
    <w:semiHidden/>
    <w:unhideWhenUsed/>
    <w:rsid w:val="008B3391"/>
    <w:rPr>
      <w:sz w:val="18"/>
      <w:szCs w:val="18"/>
    </w:rPr>
  </w:style>
  <w:style w:type="paragraph" w:styleId="CommentText">
    <w:name w:val="annotation text"/>
    <w:basedOn w:val="Normal"/>
    <w:link w:val="CommentTextChar"/>
    <w:uiPriority w:val="99"/>
    <w:semiHidden/>
    <w:unhideWhenUsed/>
    <w:rsid w:val="008B3391"/>
  </w:style>
  <w:style w:type="character" w:customStyle="1" w:styleId="CommentTextChar">
    <w:name w:val="Comment Text Char"/>
    <w:link w:val="CommentText"/>
    <w:uiPriority w:val="99"/>
    <w:semiHidden/>
    <w:rsid w:val="008B3391"/>
    <w:rPr>
      <w:sz w:val="24"/>
      <w:szCs w:val="24"/>
    </w:rPr>
  </w:style>
  <w:style w:type="paragraph" w:styleId="CommentSubject">
    <w:name w:val="annotation subject"/>
    <w:basedOn w:val="CommentText"/>
    <w:next w:val="CommentText"/>
    <w:link w:val="CommentSubjectChar"/>
    <w:uiPriority w:val="99"/>
    <w:semiHidden/>
    <w:unhideWhenUsed/>
    <w:rsid w:val="008B3391"/>
    <w:rPr>
      <w:b/>
      <w:bCs/>
    </w:rPr>
  </w:style>
  <w:style w:type="character" w:customStyle="1" w:styleId="CommentSubjectChar">
    <w:name w:val="Comment Subject Char"/>
    <w:link w:val="CommentSubject"/>
    <w:uiPriority w:val="99"/>
    <w:semiHidden/>
    <w:rsid w:val="008B3391"/>
    <w:rPr>
      <w:b/>
      <w:bCs/>
      <w:sz w:val="24"/>
      <w:szCs w:val="24"/>
    </w:rPr>
  </w:style>
  <w:style w:type="table" w:styleId="TableGrid">
    <w:name w:val="Table Grid"/>
    <w:basedOn w:val="TableNormal"/>
    <w:uiPriority w:val="59"/>
    <w:rsid w:val="00702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A1ED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2440">
      <w:bodyDiv w:val="1"/>
      <w:marLeft w:val="0"/>
      <w:marRight w:val="0"/>
      <w:marTop w:val="0"/>
      <w:marBottom w:val="0"/>
      <w:divBdr>
        <w:top w:val="none" w:sz="0" w:space="0" w:color="auto"/>
        <w:left w:val="none" w:sz="0" w:space="0" w:color="auto"/>
        <w:bottom w:val="none" w:sz="0" w:space="0" w:color="auto"/>
        <w:right w:val="none" w:sz="0" w:space="0" w:color="auto"/>
      </w:divBdr>
    </w:div>
    <w:div w:id="1895042571">
      <w:bodyDiv w:val="1"/>
      <w:marLeft w:val="0"/>
      <w:marRight w:val="0"/>
      <w:marTop w:val="0"/>
      <w:marBottom w:val="0"/>
      <w:divBdr>
        <w:top w:val="none" w:sz="0" w:space="0" w:color="auto"/>
        <w:left w:val="none" w:sz="0" w:space="0" w:color="auto"/>
        <w:bottom w:val="none" w:sz="0" w:space="0" w:color="auto"/>
        <w:right w:val="none" w:sz="0" w:space="0" w:color="auto"/>
      </w:divBdr>
      <w:divsChild>
        <w:div w:id="2093045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talhoyu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kapi.berkeley.edu/remixing/main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Anth 551: Strategies in Archaeology</vt:lpstr>
    </vt:vector>
  </TitlesOfParts>
  <Company>Toshiba</Company>
  <LinksUpToDate>false</LinksUpToDate>
  <CharactersWithSpaces>20638</CharactersWithSpaces>
  <SharedDoc>false</SharedDoc>
  <HLinks>
    <vt:vector size="12" baseType="variant">
      <vt:variant>
        <vt:i4>1966111</vt:i4>
      </vt:variant>
      <vt:variant>
        <vt:i4>3</vt:i4>
      </vt:variant>
      <vt:variant>
        <vt:i4>0</vt:i4>
      </vt:variant>
      <vt:variant>
        <vt:i4>5</vt:i4>
      </vt:variant>
      <vt:variant>
        <vt:lpwstr>http://okapi.berkeley.edu/remixing/mainpage.html</vt:lpwstr>
      </vt:variant>
      <vt:variant>
        <vt:lpwstr/>
      </vt:variant>
      <vt:variant>
        <vt:i4>2359332</vt:i4>
      </vt:variant>
      <vt:variant>
        <vt:i4>0</vt:i4>
      </vt:variant>
      <vt:variant>
        <vt:i4>0</vt:i4>
      </vt:variant>
      <vt:variant>
        <vt:i4>5</vt:i4>
      </vt:variant>
      <vt:variant>
        <vt:lpwstr>http://www.catalhoyuk.com/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 551: Strategies in Archaeology</dc:title>
  <dc:creator>Kath</dc:creator>
  <cp:lastModifiedBy>Randall McGuire</cp:lastModifiedBy>
  <cp:revision>13</cp:revision>
  <cp:lastPrinted>2014-08-29T14:45:00Z</cp:lastPrinted>
  <dcterms:created xsi:type="dcterms:W3CDTF">2014-08-28T14:10:00Z</dcterms:created>
  <dcterms:modified xsi:type="dcterms:W3CDTF">2014-08-29T19:47:00Z</dcterms:modified>
</cp:coreProperties>
</file>